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FADA1" w14:textId="77777777" w:rsidR="003761B0" w:rsidRDefault="003E114A" w:rsidP="003E114A">
      <w:pPr>
        <w:pStyle w:val="Heading2"/>
      </w:pPr>
      <w:r>
        <w:t>Device Results 2012</w:t>
      </w:r>
    </w:p>
    <w:p w14:paraId="4A94BAC0" w14:textId="77777777" w:rsidR="003E114A" w:rsidRDefault="003E114A" w:rsidP="003E114A"/>
    <w:p w14:paraId="46CD399B" w14:textId="77777777" w:rsidR="003E114A" w:rsidRDefault="003E114A" w:rsidP="003E114A">
      <w:pPr>
        <w:jc w:val="both"/>
      </w:pPr>
      <w:r>
        <w:t xml:space="preserve">Since the start of 2012 I have been prospectively auditing all device implants and complications (of all operators in our institution). I am publishing my results here. I do believe that we should be publishing our data, warts and all. </w:t>
      </w:r>
      <w:proofErr w:type="gramStart"/>
      <w:r>
        <w:t>In 2013 I will collect data on co-morbidities too, which I feel is important.</w:t>
      </w:r>
      <w:proofErr w:type="gramEnd"/>
      <w:r>
        <w:t xml:space="preserve"> We have already published long-term data from our institution:</w:t>
      </w:r>
    </w:p>
    <w:p w14:paraId="4A27D1B0" w14:textId="77777777" w:rsidR="003E114A" w:rsidRDefault="003E114A" w:rsidP="003E114A"/>
    <w:p w14:paraId="74A439BB" w14:textId="77777777" w:rsidR="003E114A" w:rsidRDefault="003E114A" w:rsidP="003E114A">
      <w:hyperlink r:id="rId6" w:history="1">
        <w:r w:rsidRPr="00230F8A">
          <w:rPr>
            <w:rStyle w:val="Hyperlink"/>
          </w:rPr>
          <w:t>http://bjcardio.co.uk/2012/05/pacemaker-complications-in-a-district-general-hospital/</w:t>
        </w:r>
      </w:hyperlink>
    </w:p>
    <w:p w14:paraId="5B47B13E" w14:textId="77777777" w:rsidR="00CB7500" w:rsidRDefault="00CB7500" w:rsidP="00CB7500">
      <w:pPr>
        <w:jc w:val="both"/>
        <w:rPr>
          <w:rFonts w:ascii="Cambria" w:hAnsi="Cambria"/>
        </w:rPr>
      </w:pPr>
    </w:p>
    <w:p w14:paraId="68679088" w14:textId="77777777" w:rsidR="00CB7500" w:rsidRDefault="00CB7500" w:rsidP="00CB7500">
      <w:pPr>
        <w:jc w:val="both"/>
        <w:rPr>
          <w:rFonts w:ascii="Cambria" w:hAnsi="Cambria"/>
        </w:rPr>
      </w:pPr>
      <w:r>
        <w:rPr>
          <w:rFonts w:ascii="Cambria" w:hAnsi="Cambria"/>
        </w:rPr>
        <w:t xml:space="preserve">At our institution we undertake “simple” (single and dual chamber conventional pacemakers) and complex device implants (cardiac resynchronisation therapy/biventricular pacemakers and implantable cardioverter defibrillators). We will remove devices that are less than one year old, but do not remove devices that are older.  I tend to do more complex procedures and also undertake a number of corrective procedures. </w:t>
      </w:r>
    </w:p>
    <w:p w14:paraId="682098A8" w14:textId="77777777" w:rsidR="003E114A" w:rsidRDefault="003E114A" w:rsidP="003E114A"/>
    <w:p w14:paraId="458D4A69" w14:textId="77777777" w:rsidR="003E114A" w:rsidRPr="00CB7500" w:rsidRDefault="003E114A" w:rsidP="003E114A">
      <w:pPr>
        <w:jc w:val="both"/>
      </w:pPr>
      <w:r>
        <w:t>In 2012 I undertook 163 first operator implants. I supervise very few procedures. The mean age was 74.0</w:t>
      </w:r>
      <w:r>
        <w:rPr>
          <w:rFonts w:ascii="Cambria" w:hAnsi="Cambria"/>
        </w:rPr>
        <w:t xml:space="preserve">±12.7 years.  Over two thirds of patients were male (112/163, 69%). </w:t>
      </w:r>
      <w:r w:rsidR="00CB7500">
        <w:t>Approximately 50% of my procedures are complex procedures. I implanted 26 LV leads.</w:t>
      </w:r>
    </w:p>
    <w:p w14:paraId="586C6EC4" w14:textId="77777777" w:rsidR="003E114A" w:rsidRDefault="003E114A" w:rsidP="003E114A">
      <w:pPr>
        <w:jc w:val="both"/>
        <w:rPr>
          <w:rFonts w:ascii="Cambria" w:hAnsi="Cambria"/>
        </w:rPr>
      </w:pPr>
    </w:p>
    <w:p w14:paraId="52E24020" w14:textId="77777777" w:rsidR="00131505" w:rsidRDefault="00131505">
      <w:pPr>
        <w:rPr>
          <w:rFonts w:ascii="Cambria" w:hAnsi="Cambria"/>
        </w:rPr>
      </w:pPr>
      <w:r>
        <w:rPr>
          <w:rFonts w:ascii="Cambria" w:hAnsi="Cambria"/>
        </w:rPr>
        <w:br w:type="page"/>
      </w:r>
    </w:p>
    <w:p w14:paraId="4CC2ED2E" w14:textId="77777777" w:rsidR="003E114A" w:rsidRDefault="00CB7500" w:rsidP="003E114A">
      <w:pPr>
        <w:jc w:val="both"/>
        <w:rPr>
          <w:rFonts w:ascii="Cambria" w:hAnsi="Cambria"/>
        </w:rPr>
      </w:pPr>
      <w:r>
        <w:rPr>
          <w:rFonts w:ascii="Cambria" w:hAnsi="Cambria"/>
        </w:rPr>
        <w:lastRenderedPageBreak/>
        <w:t xml:space="preserve">In detail, I </w:t>
      </w:r>
      <w:r w:rsidR="003E114A">
        <w:rPr>
          <w:rFonts w:ascii="Cambria" w:hAnsi="Cambria"/>
        </w:rPr>
        <w:t>undertook the following procedures:</w:t>
      </w:r>
    </w:p>
    <w:p w14:paraId="6D11EA94" w14:textId="77777777" w:rsidR="003E114A" w:rsidRDefault="003E114A" w:rsidP="003E114A">
      <w:pPr>
        <w:jc w:val="both"/>
        <w:rPr>
          <w:rFonts w:ascii="Cambria" w:hAnsi="Cambria"/>
        </w:rPr>
      </w:pPr>
    </w:p>
    <w:tbl>
      <w:tblPr>
        <w:tblStyle w:val="TableGrid"/>
        <w:tblW w:w="5870" w:type="dxa"/>
        <w:jc w:val="center"/>
        <w:tblLook w:val="04A0" w:firstRow="1" w:lastRow="0" w:firstColumn="1" w:lastColumn="0" w:noHBand="0" w:noVBand="1"/>
      </w:tblPr>
      <w:tblGrid>
        <w:gridCol w:w="4024"/>
        <w:gridCol w:w="762"/>
        <w:gridCol w:w="1084"/>
      </w:tblGrid>
      <w:tr w:rsidR="005D0B82" w14:paraId="2209F3D0" w14:textId="77777777" w:rsidTr="00CB7500">
        <w:trPr>
          <w:jc w:val="center"/>
        </w:trPr>
        <w:tc>
          <w:tcPr>
            <w:tcW w:w="5870" w:type="dxa"/>
            <w:gridSpan w:val="3"/>
          </w:tcPr>
          <w:p w14:paraId="63612D0B" w14:textId="77777777" w:rsidR="005D0B82" w:rsidRDefault="005D0B82" w:rsidP="003E114A">
            <w:pPr>
              <w:jc w:val="both"/>
            </w:pPr>
            <w:r w:rsidRPr="005D0B82">
              <w:rPr>
                <w:b/>
              </w:rPr>
              <w:t>“Simple Pacing”</w:t>
            </w:r>
          </w:p>
        </w:tc>
      </w:tr>
      <w:tr w:rsidR="003E114A" w14:paraId="488E2C1E" w14:textId="77777777" w:rsidTr="00CB7500">
        <w:trPr>
          <w:jc w:val="center"/>
        </w:trPr>
        <w:tc>
          <w:tcPr>
            <w:tcW w:w="4024" w:type="dxa"/>
          </w:tcPr>
          <w:p w14:paraId="72DB2CDB" w14:textId="77777777" w:rsidR="003E114A" w:rsidRDefault="003E114A" w:rsidP="003E114A">
            <w:pPr>
              <w:jc w:val="both"/>
            </w:pPr>
            <w:r>
              <w:t>Single Chamber Pacemakers (VVIR)</w:t>
            </w:r>
          </w:p>
        </w:tc>
        <w:tc>
          <w:tcPr>
            <w:tcW w:w="762" w:type="dxa"/>
          </w:tcPr>
          <w:p w14:paraId="5D54B389" w14:textId="77777777" w:rsidR="003E114A" w:rsidRDefault="003E114A" w:rsidP="003E114A">
            <w:pPr>
              <w:jc w:val="both"/>
            </w:pPr>
            <w:r>
              <w:t>19</w:t>
            </w:r>
          </w:p>
        </w:tc>
        <w:tc>
          <w:tcPr>
            <w:tcW w:w="1084" w:type="dxa"/>
          </w:tcPr>
          <w:p w14:paraId="157870DB" w14:textId="77777777" w:rsidR="003E114A" w:rsidRDefault="003E114A" w:rsidP="003E114A">
            <w:pPr>
              <w:jc w:val="both"/>
            </w:pPr>
            <w:r>
              <w:t>11.7%</w:t>
            </w:r>
          </w:p>
        </w:tc>
      </w:tr>
      <w:tr w:rsidR="003E114A" w14:paraId="7CA01D22" w14:textId="77777777" w:rsidTr="00CB7500">
        <w:trPr>
          <w:jc w:val="center"/>
        </w:trPr>
        <w:tc>
          <w:tcPr>
            <w:tcW w:w="4024" w:type="dxa"/>
          </w:tcPr>
          <w:p w14:paraId="113F5B56" w14:textId="77777777" w:rsidR="003E114A" w:rsidRDefault="003E114A" w:rsidP="003E114A">
            <w:pPr>
              <w:jc w:val="both"/>
            </w:pPr>
            <w:r>
              <w:t>Dual Chamber Pacemakers (DDDR)</w:t>
            </w:r>
          </w:p>
        </w:tc>
        <w:tc>
          <w:tcPr>
            <w:tcW w:w="762" w:type="dxa"/>
          </w:tcPr>
          <w:p w14:paraId="469F9CF4" w14:textId="77777777" w:rsidR="003E114A" w:rsidRDefault="003E114A" w:rsidP="003E114A">
            <w:pPr>
              <w:jc w:val="both"/>
            </w:pPr>
            <w:r>
              <w:t>38</w:t>
            </w:r>
          </w:p>
        </w:tc>
        <w:tc>
          <w:tcPr>
            <w:tcW w:w="1084" w:type="dxa"/>
          </w:tcPr>
          <w:p w14:paraId="745504A5" w14:textId="77777777" w:rsidR="003E114A" w:rsidRDefault="005D0B82" w:rsidP="003E114A">
            <w:pPr>
              <w:jc w:val="both"/>
            </w:pPr>
            <w:r>
              <w:t>23.3%</w:t>
            </w:r>
          </w:p>
        </w:tc>
      </w:tr>
      <w:tr w:rsidR="003E114A" w14:paraId="2E724F09" w14:textId="77777777" w:rsidTr="00CB7500">
        <w:trPr>
          <w:jc w:val="center"/>
        </w:trPr>
        <w:tc>
          <w:tcPr>
            <w:tcW w:w="4024" w:type="dxa"/>
          </w:tcPr>
          <w:p w14:paraId="258A9079" w14:textId="77777777" w:rsidR="003E114A" w:rsidRDefault="003E114A" w:rsidP="003E114A">
            <w:pPr>
              <w:jc w:val="both"/>
            </w:pPr>
            <w:r>
              <w:t>Box Changes</w:t>
            </w:r>
          </w:p>
        </w:tc>
        <w:tc>
          <w:tcPr>
            <w:tcW w:w="762" w:type="dxa"/>
          </w:tcPr>
          <w:p w14:paraId="4FD533D2" w14:textId="77777777" w:rsidR="003E114A" w:rsidRDefault="003E114A" w:rsidP="003E114A">
            <w:pPr>
              <w:jc w:val="both"/>
            </w:pPr>
            <w:r>
              <w:t>11</w:t>
            </w:r>
          </w:p>
        </w:tc>
        <w:tc>
          <w:tcPr>
            <w:tcW w:w="1084" w:type="dxa"/>
          </w:tcPr>
          <w:p w14:paraId="4131CC2A" w14:textId="77777777" w:rsidR="003E114A" w:rsidRDefault="005D0B82" w:rsidP="003E114A">
            <w:pPr>
              <w:jc w:val="both"/>
            </w:pPr>
            <w:r>
              <w:t>6.7%</w:t>
            </w:r>
          </w:p>
        </w:tc>
      </w:tr>
      <w:tr w:rsidR="003E114A" w14:paraId="5C4BDD9C" w14:textId="77777777" w:rsidTr="00CB7500">
        <w:trPr>
          <w:jc w:val="center"/>
        </w:trPr>
        <w:tc>
          <w:tcPr>
            <w:tcW w:w="4024" w:type="dxa"/>
          </w:tcPr>
          <w:p w14:paraId="724ED5B2" w14:textId="77777777" w:rsidR="003E114A" w:rsidRDefault="003E114A" w:rsidP="003E114A">
            <w:pPr>
              <w:jc w:val="both"/>
            </w:pPr>
            <w:r>
              <w:t xml:space="preserve">Box Changes with New </w:t>
            </w:r>
            <w:r w:rsidR="00BF3D7F">
              <w:t xml:space="preserve">V </w:t>
            </w:r>
            <w:r>
              <w:t>Leads</w:t>
            </w:r>
          </w:p>
        </w:tc>
        <w:tc>
          <w:tcPr>
            <w:tcW w:w="762" w:type="dxa"/>
          </w:tcPr>
          <w:p w14:paraId="55690E2A" w14:textId="77777777" w:rsidR="003E114A" w:rsidRDefault="003E114A" w:rsidP="003E114A">
            <w:pPr>
              <w:jc w:val="both"/>
            </w:pPr>
            <w:r>
              <w:t>3</w:t>
            </w:r>
          </w:p>
        </w:tc>
        <w:tc>
          <w:tcPr>
            <w:tcW w:w="1084" w:type="dxa"/>
          </w:tcPr>
          <w:p w14:paraId="3A514EE1" w14:textId="77777777" w:rsidR="003E114A" w:rsidRDefault="005D0B82" w:rsidP="003E114A">
            <w:pPr>
              <w:jc w:val="both"/>
            </w:pPr>
            <w:r>
              <w:t>1.8%</w:t>
            </w:r>
          </w:p>
        </w:tc>
      </w:tr>
      <w:tr w:rsidR="003E114A" w14:paraId="2F690673" w14:textId="77777777" w:rsidTr="00CB7500">
        <w:trPr>
          <w:jc w:val="center"/>
        </w:trPr>
        <w:tc>
          <w:tcPr>
            <w:tcW w:w="4024" w:type="dxa"/>
          </w:tcPr>
          <w:p w14:paraId="65819BA3" w14:textId="77777777" w:rsidR="003E114A" w:rsidRDefault="003E114A" w:rsidP="003E114A">
            <w:pPr>
              <w:jc w:val="both"/>
            </w:pPr>
            <w:r>
              <w:t>A Lead Reposition</w:t>
            </w:r>
            <w:r w:rsidR="00BF3D7F">
              <w:t>s</w:t>
            </w:r>
            <w:r>
              <w:t xml:space="preserve"> / Replacement</w:t>
            </w:r>
            <w:r w:rsidR="00BF3D7F">
              <w:t>s</w:t>
            </w:r>
          </w:p>
        </w:tc>
        <w:tc>
          <w:tcPr>
            <w:tcW w:w="762" w:type="dxa"/>
          </w:tcPr>
          <w:p w14:paraId="383CA09F" w14:textId="77777777" w:rsidR="003E114A" w:rsidRDefault="003E114A" w:rsidP="003E114A">
            <w:pPr>
              <w:jc w:val="both"/>
            </w:pPr>
            <w:r>
              <w:t>4</w:t>
            </w:r>
          </w:p>
        </w:tc>
        <w:tc>
          <w:tcPr>
            <w:tcW w:w="1084" w:type="dxa"/>
          </w:tcPr>
          <w:p w14:paraId="08EAB687" w14:textId="77777777" w:rsidR="003E114A" w:rsidRDefault="005D0B82" w:rsidP="003E114A">
            <w:pPr>
              <w:jc w:val="both"/>
            </w:pPr>
            <w:r>
              <w:t>2.5%</w:t>
            </w:r>
          </w:p>
        </w:tc>
      </w:tr>
      <w:tr w:rsidR="003E114A" w14:paraId="4B5CE564" w14:textId="77777777" w:rsidTr="00CB7500">
        <w:trPr>
          <w:jc w:val="center"/>
        </w:trPr>
        <w:tc>
          <w:tcPr>
            <w:tcW w:w="4024" w:type="dxa"/>
          </w:tcPr>
          <w:p w14:paraId="6B294676" w14:textId="77777777" w:rsidR="003E114A" w:rsidRDefault="003E114A" w:rsidP="003E114A">
            <w:pPr>
              <w:jc w:val="both"/>
            </w:pPr>
            <w:r>
              <w:t>A Lead and RV Lead Reposition</w:t>
            </w:r>
            <w:r w:rsidR="00BF3D7F">
              <w:t>s</w:t>
            </w:r>
          </w:p>
        </w:tc>
        <w:tc>
          <w:tcPr>
            <w:tcW w:w="762" w:type="dxa"/>
          </w:tcPr>
          <w:p w14:paraId="29811128" w14:textId="77777777" w:rsidR="003E114A" w:rsidRDefault="003E114A" w:rsidP="003E114A">
            <w:pPr>
              <w:jc w:val="both"/>
            </w:pPr>
            <w:r>
              <w:t>1</w:t>
            </w:r>
          </w:p>
        </w:tc>
        <w:tc>
          <w:tcPr>
            <w:tcW w:w="1084" w:type="dxa"/>
          </w:tcPr>
          <w:p w14:paraId="577C01C6" w14:textId="77777777" w:rsidR="003E114A" w:rsidRDefault="005D0B82" w:rsidP="003E114A">
            <w:pPr>
              <w:jc w:val="both"/>
            </w:pPr>
            <w:r>
              <w:t>0.6%</w:t>
            </w:r>
          </w:p>
        </w:tc>
      </w:tr>
      <w:tr w:rsidR="003E114A" w14:paraId="21842672" w14:textId="77777777" w:rsidTr="00CB7500">
        <w:trPr>
          <w:jc w:val="center"/>
        </w:trPr>
        <w:tc>
          <w:tcPr>
            <w:tcW w:w="4024" w:type="dxa"/>
          </w:tcPr>
          <w:p w14:paraId="45D90CB6" w14:textId="77777777" w:rsidR="003E114A" w:rsidRDefault="003E114A" w:rsidP="003E114A">
            <w:pPr>
              <w:jc w:val="both"/>
            </w:pPr>
            <w:r>
              <w:t>RV Lead Reposition</w:t>
            </w:r>
            <w:r w:rsidR="00BF3D7F">
              <w:t>s</w:t>
            </w:r>
            <w:r>
              <w:t xml:space="preserve"> / Replacement</w:t>
            </w:r>
            <w:r w:rsidR="00BF3D7F">
              <w:t>s</w:t>
            </w:r>
          </w:p>
        </w:tc>
        <w:tc>
          <w:tcPr>
            <w:tcW w:w="762" w:type="dxa"/>
          </w:tcPr>
          <w:p w14:paraId="32C984B9" w14:textId="77777777" w:rsidR="003E114A" w:rsidRDefault="00BF3D7F" w:rsidP="003E114A">
            <w:pPr>
              <w:jc w:val="both"/>
            </w:pPr>
            <w:r>
              <w:t>3</w:t>
            </w:r>
          </w:p>
        </w:tc>
        <w:tc>
          <w:tcPr>
            <w:tcW w:w="1084" w:type="dxa"/>
          </w:tcPr>
          <w:p w14:paraId="77F5888B" w14:textId="77777777" w:rsidR="003E114A" w:rsidRDefault="00BF3D7F" w:rsidP="003E114A">
            <w:pPr>
              <w:jc w:val="both"/>
            </w:pPr>
            <w:r>
              <w:t>1.8</w:t>
            </w:r>
            <w:r w:rsidR="005D0B82">
              <w:t>%</w:t>
            </w:r>
          </w:p>
        </w:tc>
      </w:tr>
      <w:tr w:rsidR="003E114A" w14:paraId="3F94A5A6" w14:textId="77777777" w:rsidTr="00CB7500">
        <w:trPr>
          <w:jc w:val="center"/>
        </w:trPr>
        <w:tc>
          <w:tcPr>
            <w:tcW w:w="4024" w:type="dxa"/>
          </w:tcPr>
          <w:p w14:paraId="65C3B742" w14:textId="77777777" w:rsidR="003E114A" w:rsidRDefault="003E114A" w:rsidP="003E114A">
            <w:pPr>
              <w:jc w:val="both"/>
            </w:pPr>
            <w:r>
              <w:t>Device Explant</w:t>
            </w:r>
            <w:r w:rsidR="00BF3D7F">
              <w:t>s</w:t>
            </w:r>
            <w:r>
              <w:t xml:space="preserve"> (Infection)</w:t>
            </w:r>
          </w:p>
        </w:tc>
        <w:tc>
          <w:tcPr>
            <w:tcW w:w="762" w:type="dxa"/>
          </w:tcPr>
          <w:p w14:paraId="205A42A2" w14:textId="77777777" w:rsidR="003E114A" w:rsidRDefault="003E114A" w:rsidP="003E114A">
            <w:pPr>
              <w:jc w:val="both"/>
            </w:pPr>
            <w:r>
              <w:t>1</w:t>
            </w:r>
          </w:p>
        </w:tc>
        <w:tc>
          <w:tcPr>
            <w:tcW w:w="1084" w:type="dxa"/>
          </w:tcPr>
          <w:p w14:paraId="41BB0AA8" w14:textId="77777777" w:rsidR="003E114A" w:rsidRDefault="005D0B82" w:rsidP="003E114A">
            <w:pPr>
              <w:jc w:val="both"/>
            </w:pPr>
            <w:r>
              <w:t>0.6%</w:t>
            </w:r>
          </w:p>
        </w:tc>
      </w:tr>
      <w:tr w:rsidR="003E114A" w14:paraId="2EFFB8E4" w14:textId="77777777" w:rsidTr="00CB7500">
        <w:trPr>
          <w:jc w:val="center"/>
        </w:trPr>
        <w:tc>
          <w:tcPr>
            <w:tcW w:w="4024" w:type="dxa"/>
          </w:tcPr>
          <w:p w14:paraId="44A3AA3F" w14:textId="77777777" w:rsidR="003E114A" w:rsidRDefault="003E114A" w:rsidP="003E114A">
            <w:pPr>
              <w:jc w:val="both"/>
            </w:pPr>
            <w:r>
              <w:t>Reveal Explant</w:t>
            </w:r>
            <w:r w:rsidR="00BF3D7F">
              <w:t>s</w:t>
            </w:r>
            <w:r>
              <w:t xml:space="preserve"> (End of Life)</w:t>
            </w:r>
          </w:p>
        </w:tc>
        <w:tc>
          <w:tcPr>
            <w:tcW w:w="762" w:type="dxa"/>
          </w:tcPr>
          <w:p w14:paraId="55C6FDAA" w14:textId="77777777" w:rsidR="003E114A" w:rsidRDefault="003E114A" w:rsidP="003E114A">
            <w:pPr>
              <w:jc w:val="both"/>
            </w:pPr>
            <w:r>
              <w:t>1</w:t>
            </w:r>
          </w:p>
        </w:tc>
        <w:tc>
          <w:tcPr>
            <w:tcW w:w="1084" w:type="dxa"/>
          </w:tcPr>
          <w:p w14:paraId="4DFE473C" w14:textId="77777777" w:rsidR="003E114A" w:rsidRDefault="005D0B82" w:rsidP="003E114A">
            <w:pPr>
              <w:jc w:val="both"/>
            </w:pPr>
            <w:r>
              <w:t>0.6%</w:t>
            </w:r>
          </w:p>
        </w:tc>
      </w:tr>
      <w:tr w:rsidR="005D0B82" w14:paraId="77F18770" w14:textId="77777777" w:rsidTr="00CB7500">
        <w:trPr>
          <w:jc w:val="center"/>
        </w:trPr>
        <w:tc>
          <w:tcPr>
            <w:tcW w:w="4024" w:type="dxa"/>
          </w:tcPr>
          <w:p w14:paraId="2364D27B" w14:textId="77777777" w:rsidR="005D0B82" w:rsidRPr="00CB7500" w:rsidRDefault="005D0B82" w:rsidP="003E114A">
            <w:pPr>
              <w:jc w:val="both"/>
              <w:rPr>
                <w:b/>
              </w:rPr>
            </w:pPr>
            <w:r w:rsidRPr="00CB7500">
              <w:rPr>
                <w:b/>
              </w:rPr>
              <w:t>Total</w:t>
            </w:r>
          </w:p>
        </w:tc>
        <w:tc>
          <w:tcPr>
            <w:tcW w:w="762" w:type="dxa"/>
          </w:tcPr>
          <w:p w14:paraId="6DEB6F61" w14:textId="77777777" w:rsidR="005D0B82" w:rsidRPr="00CB7500" w:rsidRDefault="005D0B82" w:rsidP="003E114A">
            <w:pPr>
              <w:jc w:val="both"/>
              <w:rPr>
                <w:b/>
              </w:rPr>
            </w:pPr>
            <w:r w:rsidRPr="00CB7500">
              <w:rPr>
                <w:b/>
              </w:rPr>
              <w:t>8</w:t>
            </w:r>
            <w:r w:rsidR="00BF3D7F" w:rsidRPr="00CB7500">
              <w:rPr>
                <w:b/>
              </w:rPr>
              <w:t>1</w:t>
            </w:r>
          </w:p>
        </w:tc>
        <w:tc>
          <w:tcPr>
            <w:tcW w:w="1084" w:type="dxa"/>
          </w:tcPr>
          <w:p w14:paraId="7C1CCD01" w14:textId="77777777" w:rsidR="005D0B82" w:rsidRPr="00CB7500" w:rsidRDefault="00CB7500" w:rsidP="003E114A">
            <w:pPr>
              <w:jc w:val="both"/>
              <w:rPr>
                <w:b/>
              </w:rPr>
            </w:pPr>
            <w:r w:rsidRPr="00CB7500">
              <w:rPr>
                <w:b/>
              </w:rPr>
              <w:t>49.7</w:t>
            </w:r>
            <w:r w:rsidR="005D0B82" w:rsidRPr="00CB7500">
              <w:rPr>
                <w:b/>
              </w:rPr>
              <w:t>%</w:t>
            </w:r>
          </w:p>
        </w:tc>
      </w:tr>
      <w:tr w:rsidR="005D0B82" w14:paraId="12F991E0" w14:textId="77777777" w:rsidTr="00CB7500">
        <w:trPr>
          <w:jc w:val="center"/>
        </w:trPr>
        <w:tc>
          <w:tcPr>
            <w:tcW w:w="5870" w:type="dxa"/>
            <w:gridSpan w:val="3"/>
          </w:tcPr>
          <w:p w14:paraId="07E5B912" w14:textId="77777777" w:rsidR="005D0B82" w:rsidRDefault="005D0B82" w:rsidP="003E114A">
            <w:pPr>
              <w:jc w:val="both"/>
            </w:pPr>
          </w:p>
        </w:tc>
      </w:tr>
      <w:tr w:rsidR="005D0B82" w14:paraId="31AEC05B" w14:textId="77777777" w:rsidTr="00CB7500">
        <w:trPr>
          <w:jc w:val="center"/>
        </w:trPr>
        <w:tc>
          <w:tcPr>
            <w:tcW w:w="5870" w:type="dxa"/>
            <w:gridSpan w:val="3"/>
          </w:tcPr>
          <w:p w14:paraId="0B5E09E8" w14:textId="77777777" w:rsidR="005D0B82" w:rsidRDefault="005D0B82" w:rsidP="003E114A">
            <w:pPr>
              <w:jc w:val="both"/>
            </w:pPr>
            <w:r w:rsidRPr="005D0B82">
              <w:rPr>
                <w:b/>
              </w:rPr>
              <w:t>“Complex Pacing”</w:t>
            </w:r>
          </w:p>
        </w:tc>
      </w:tr>
      <w:tr w:rsidR="005D0B82" w14:paraId="6556D8CA" w14:textId="77777777" w:rsidTr="00CB7500">
        <w:trPr>
          <w:jc w:val="center"/>
        </w:trPr>
        <w:tc>
          <w:tcPr>
            <w:tcW w:w="4024" w:type="dxa"/>
          </w:tcPr>
          <w:p w14:paraId="181629F2" w14:textId="77777777" w:rsidR="005D0B82" w:rsidRDefault="005D0B82" w:rsidP="003E114A">
            <w:pPr>
              <w:jc w:val="both"/>
            </w:pPr>
            <w:r>
              <w:t>Single Chamber ICD</w:t>
            </w:r>
            <w:r w:rsidR="00BF3D7F">
              <w:t>s</w:t>
            </w:r>
            <w:r>
              <w:t xml:space="preserve"> </w:t>
            </w:r>
          </w:p>
        </w:tc>
        <w:tc>
          <w:tcPr>
            <w:tcW w:w="762" w:type="dxa"/>
          </w:tcPr>
          <w:p w14:paraId="2553D5F3" w14:textId="77777777" w:rsidR="005D0B82" w:rsidRDefault="005D0B82" w:rsidP="003E114A">
            <w:pPr>
              <w:jc w:val="both"/>
            </w:pPr>
            <w:r>
              <w:t>13</w:t>
            </w:r>
          </w:p>
        </w:tc>
        <w:tc>
          <w:tcPr>
            <w:tcW w:w="1084" w:type="dxa"/>
          </w:tcPr>
          <w:p w14:paraId="1C438520" w14:textId="77777777" w:rsidR="005D0B82" w:rsidRDefault="00CB7500" w:rsidP="003E114A">
            <w:pPr>
              <w:jc w:val="both"/>
            </w:pPr>
            <w:r>
              <w:t>8.0%</w:t>
            </w:r>
          </w:p>
        </w:tc>
      </w:tr>
      <w:tr w:rsidR="005D0B82" w14:paraId="4B1040BA" w14:textId="77777777" w:rsidTr="00CB7500">
        <w:trPr>
          <w:jc w:val="center"/>
        </w:trPr>
        <w:tc>
          <w:tcPr>
            <w:tcW w:w="4024" w:type="dxa"/>
          </w:tcPr>
          <w:p w14:paraId="4FC7B81D" w14:textId="77777777" w:rsidR="005D0B82" w:rsidRDefault="005D0B82" w:rsidP="003E114A">
            <w:pPr>
              <w:jc w:val="both"/>
            </w:pPr>
            <w:r>
              <w:t>Dual Chamber ICD</w:t>
            </w:r>
            <w:r w:rsidR="00BF3D7F">
              <w:t>s</w:t>
            </w:r>
          </w:p>
        </w:tc>
        <w:tc>
          <w:tcPr>
            <w:tcW w:w="762" w:type="dxa"/>
          </w:tcPr>
          <w:p w14:paraId="3BEF1E9B" w14:textId="77777777" w:rsidR="005D0B82" w:rsidRDefault="005D0B82" w:rsidP="003E114A">
            <w:pPr>
              <w:jc w:val="both"/>
            </w:pPr>
            <w:r>
              <w:t>11</w:t>
            </w:r>
          </w:p>
        </w:tc>
        <w:tc>
          <w:tcPr>
            <w:tcW w:w="1084" w:type="dxa"/>
          </w:tcPr>
          <w:p w14:paraId="5F75F3A1" w14:textId="77777777" w:rsidR="00CB7500" w:rsidRDefault="00CB7500" w:rsidP="003E114A">
            <w:pPr>
              <w:jc w:val="both"/>
            </w:pPr>
            <w:r>
              <w:t>6.7%</w:t>
            </w:r>
          </w:p>
        </w:tc>
      </w:tr>
      <w:tr w:rsidR="005D0B82" w14:paraId="725BB552" w14:textId="77777777" w:rsidTr="00CB7500">
        <w:trPr>
          <w:jc w:val="center"/>
        </w:trPr>
        <w:tc>
          <w:tcPr>
            <w:tcW w:w="4024" w:type="dxa"/>
          </w:tcPr>
          <w:p w14:paraId="49900639" w14:textId="77777777" w:rsidR="005D0B82" w:rsidRDefault="005D0B82" w:rsidP="003E114A">
            <w:pPr>
              <w:jc w:val="both"/>
            </w:pPr>
            <w:r>
              <w:t>ICD Box Change</w:t>
            </w:r>
            <w:r w:rsidR="00BF3D7F">
              <w:t>s</w:t>
            </w:r>
          </w:p>
        </w:tc>
        <w:tc>
          <w:tcPr>
            <w:tcW w:w="762" w:type="dxa"/>
          </w:tcPr>
          <w:p w14:paraId="354B8CB4" w14:textId="77777777" w:rsidR="005D0B82" w:rsidRDefault="005D0B82" w:rsidP="003E114A">
            <w:pPr>
              <w:jc w:val="both"/>
            </w:pPr>
            <w:r>
              <w:t>20</w:t>
            </w:r>
          </w:p>
        </w:tc>
        <w:tc>
          <w:tcPr>
            <w:tcW w:w="1084" w:type="dxa"/>
          </w:tcPr>
          <w:p w14:paraId="2E61A09F" w14:textId="77777777" w:rsidR="005D0B82" w:rsidRDefault="00CB7500" w:rsidP="003E114A">
            <w:pPr>
              <w:jc w:val="both"/>
            </w:pPr>
            <w:r>
              <w:t>12.3%</w:t>
            </w:r>
          </w:p>
        </w:tc>
      </w:tr>
      <w:tr w:rsidR="005D0B82" w14:paraId="563C5FA6" w14:textId="77777777" w:rsidTr="00CB7500">
        <w:trPr>
          <w:jc w:val="center"/>
        </w:trPr>
        <w:tc>
          <w:tcPr>
            <w:tcW w:w="4024" w:type="dxa"/>
          </w:tcPr>
          <w:p w14:paraId="43480885" w14:textId="77777777" w:rsidR="005D0B82" w:rsidRDefault="005D0B82" w:rsidP="003E114A">
            <w:pPr>
              <w:jc w:val="both"/>
            </w:pPr>
            <w:r>
              <w:t>ICD Box Change</w:t>
            </w:r>
            <w:r w:rsidR="00BF3D7F">
              <w:t>s</w:t>
            </w:r>
            <w:r>
              <w:t xml:space="preserve"> and New RV Lead</w:t>
            </w:r>
            <w:r w:rsidR="00BF3D7F">
              <w:t>s</w:t>
            </w:r>
          </w:p>
        </w:tc>
        <w:tc>
          <w:tcPr>
            <w:tcW w:w="762" w:type="dxa"/>
          </w:tcPr>
          <w:p w14:paraId="3D7BA85D" w14:textId="77777777" w:rsidR="005D0B82" w:rsidRDefault="005D0B82" w:rsidP="003E114A">
            <w:pPr>
              <w:jc w:val="both"/>
            </w:pPr>
            <w:r>
              <w:t>3</w:t>
            </w:r>
          </w:p>
        </w:tc>
        <w:tc>
          <w:tcPr>
            <w:tcW w:w="1084" w:type="dxa"/>
          </w:tcPr>
          <w:p w14:paraId="4BF6CDA7" w14:textId="77777777" w:rsidR="005D0B82" w:rsidRDefault="00CB7500" w:rsidP="003E114A">
            <w:pPr>
              <w:jc w:val="both"/>
            </w:pPr>
            <w:r>
              <w:t>1.8%</w:t>
            </w:r>
          </w:p>
        </w:tc>
      </w:tr>
      <w:tr w:rsidR="005D0B82" w14:paraId="1061AC17" w14:textId="77777777" w:rsidTr="00CB7500">
        <w:trPr>
          <w:jc w:val="center"/>
        </w:trPr>
        <w:tc>
          <w:tcPr>
            <w:tcW w:w="4024" w:type="dxa"/>
          </w:tcPr>
          <w:p w14:paraId="652E574B" w14:textId="77777777" w:rsidR="005D0B82" w:rsidRDefault="005D0B82" w:rsidP="003E114A">
            <w:pPr>
              <w:jc w:val="both"/>
            </w:pPr>
            <w:r>
              <w:t>Subcutaneous ICD</w:t>
            </w:r>
            <w:r w:rsidR="00BF3D7F">
              <w:t>s</w:t>
            </w:r>
          </w:p>
        </w:tc>
        <w:tc>
          <w:tcPr>
            <w:tcW w:w="762" w:type="dxa"/>
          </w:tcPr>
          <w:p w14:paraId="3DD7B8FB" w14:textId="77777777" w:rsidR="005D0B82" w:rsidRDefault="005D0B82" w:rsidP="003E114A">
            <w:pPr>
              <w:jc w:val="both"/>
            </w:pPr>
            <w:r>
              <w:t>1</w:t>
            </w:r>
          </w:p>
        </w:tc>
        <w:tc>
          <w:tcPr>
            <w:tcW w:w="1084" w:type="dxa"/>
          </w:tcPr>
          <w:p w14:paraId="17E03BC5" w14:textId="77777777" w:rsidR="005D0B82" w:rsidRDefault="005D0B82" w:rsidP="003E114A">
            <w:pPr>
              <w:jc w:val="both"/>
            </w:pPr>
            <w:r>
              <w:t>0.6%</w:t>
            </w:r>
          </w:p>
        </w:tc>
      </w:tr>
      <w:tr w:rsidR="005D0B82" w14:paraId="3F785A9B" w14:textId="77777777" w:rsidTr="00CB7500">
        <w:trPr>
          <w:jc w:val="center"/>
        </w:trPr>
        <w:tc>
          <w:tcPr>
            <w:tcW w:w="4024" w:type="dxa"/>
          </w:tcPr>
          <w:p w14:paraId="0E13B8B0" w14:textId="77777777" w:rsidR="005D0B82" w:rsidRDefault="005D0B82" w:rsidP="003E114A">
            <w:pPr>
              <w:jc w:val="both"/>
            </w:pPr>
            <w:r>
              <w:t>CRT-P</w:t>
            </w:r>
            <w:r w:rsidR="00BF3D7F">
              <w:t>s</w:t>
            </w:r>
          </w:p>
        </w:tc>
        <w:tc>
          <w:tcPr>
            <w:tcW w:w="762" w:type="dxa"/>
          </w:tcPr>
          <w:p w14:paraId="25A0F29C" w14:textId="77777777" w:rsidR="005D0B82" w:rsidRDefault="005D0B82" w:rsidP="003E114A">
            <w:pPr>
              <w:jc w:val="both"/>
            </w:pPr>
            <w:r>
              <w:t>9</w:t>
            </w:r>
          </w:p>
        </w:tc>
        <w:tc>
          <w:tcPr>
            <w:tcW w:w="1084" w:type="dxa"/>
          </w:tcPr>
          <w:p w14:paraId="2A8806C4" w14:textId="77777777" w:rsidR="005D0B82" w:rsidRDefault="00CB7500" w:rsidP="003E114A">
            <w:pPr>
              <w:jc w:val="both"/>
            </w:pPr>
            <w:r>
              <w:t>5.5%</w:t>
            </w:r>
          </w:p>
        </w:tc>
      </w:tr>
      <w:tr w:rsidR="005D0B82" w14:paraId="25FCE9AA" w14:textId="77777777" w:rsidTr="00CB7500">
        <w:trPr>
          <w:jc w:val="center"/>
        </w:trPr>
        <w:tc>
          <w:tcPr>
            <w:tcW w:w="5870" w:type="dxa"/>
            <w:gridSpan w:val="3"/>
          </w:tcPr>
          <w:p w14:paraId="0738B824" w14:textId="77777777" w:rsidR="005D0B82" w:rsidRDefault="005D0B82" w:rsidP="005D0B82">
            <w:pPr>
              <w:jc w:val="both"/>
            </w:pPr>
            <w:r>
              <w:t>Of which 4 were upgrades simpler devices</w:t>
            </w:r>
          </w:p>
        </w:tc>
      </w:tr>
      <w:tr w:rsidR="00BF3D7F" w14:paraId="2F934E8D" w14:textId="77777777" w:rsidTr="00CB7500">
        <w:trPr>
          <w:jc w:val="center"/>
        </w:trPr>
        <w:tc>
          <w:tcPr>
            <w:tcW w:w="4024" w:type="dxa"/>
          </w:tcPr>
          <w:p w14:paraId="729CD527" w14:textId="77777777" w:rsidR="00BF3D7F" w:rsidRDefault="00BF3D7F" w:rsidP="003E114A">
            <w:pPr>
              <w:jc w:val="both"/>
            </w:pPr>
            <w:r>
              <w:t>CRT-P Box Change</w:t>
            </w:r>
          </w:p>
        </w:tc>
        <w:tc>
          <w:tcPr>
            <w:tcW w:w="762" w:type="dxa"/>
          </w:tcPr>
          <w:p w14:paraId="05AA346E" w14:textId="77777777" w:rsidR="00BF3D7F" w:rsidRDefault="00BF3D7F" w:rsidP="003E114A">
            <w:pPr>
              <w:jc w:val="both"/>
            </w:pPr>
            <w:r>
              <w:t>1</w:t>
            </w:r>
          </w:p>
        </w:tc>
        <w:tc>
          <w:tcPr>
            <w:tcW w:w="1084" w:type="dxa"/>
          </w:tcPr>
          <w:p w14:paraId="6DAA0BCB" w14:textId="77777777" w:rsidR="00BF3D7F" w:rsidRDefault="00BF3D7F" w:rsidP="003E114A">
            <w:pPr>
              <w:jc w:val="both"/>
            </w:pPr>
            <w:r>
              <w:t>0.6%</w:t>
            </w:r>
          </w:p>
        </w:tc>
      </w:tr>
      <w:tr w:rsidR="005D0B82" w14:paraId="17778B3D" w14:textId="77777777" w:rsidTr="00CB7500">
        <w:trPr>
          <w:jc w:val="center"/>
        </w:trPr>
        <w:tc>
          <w:tcPr>
            <w:tcW w:w="4024" w:type="dxa"/>
          </w:tcPr>
          <w:p w14:paraId="41394EF7" w14:textId="77777777" w:rsidR="005D0B82" w:rsidRDefault="005D0B82" w:rsidP="003E114A">
            <w:pPr>
              <w:jc w:val="both"/>
            </w:pPr>
            <w:r>
              <w:t>RV and LV lead replacement</w:t>
            </w:r>
          </w:p>
        </w:tc>
        <w:tc>
          <w:tcPr>
            <w:tcW w:w="762" w:type="dxa"/>
          </w:tcPr>
          <w:p w14:paraId="4E97281B" w14:textId="77777777" w:rsidR="005D0B82" w:rsidRDefault="005D0B82" w:rsidP="003E114A">
            <w:pPr>
              <w:jc w:val="both"/>
            </w:pPr>
            <w:r>
              <w:t>1</w:t>
            </w:r>
          </w:p>
        </w:tc>
        <w:tc>
          <w:tcPr>
            <w:tcW w:w="1084" w:type="dxa"/>
          </w:tcPr>
          <w:p w14:paraId="17EA6D80" w14:textId="77777777" w:rsidR="005D0B82" w:rsidRDefault="005D0B82" w:rsidP="003E114A">
            <w:pPr>
              <w:jc w:val="both"/>
            </w:pPr>
            <w:r>
              <w:t>0.6%</w:t>
            </w:r>
          </w:p>
        </w:tc>
      </w:tr>
      <w:tr w:rsidR="005D0B82" w14:paraId="45F0D9DF" w14:textId="77777777" w:rsidTr="00CB7500">
        <w:trPr>
          <w:jc w:val="center"/>
        </w:trPr>
        <w:tc>
          <w:tcPr>
            <w:tcW w:w="4024" w:type="dxa"/>
          </w:tcPr>
          <w:p w14:paraId="60255E6D" w14:textId="77777777" w:rsidR="005D0B82" w:rsidRDefault="005D0B82" w:rsidP="003E114A">
            <w:pPr>
              <w:jc w:val="both"/>
            </w:pPr>
            <w:r>
              <w:t>Failed attempt at CRT-P (DDD only)</w:t>
            </w:r>
          </w:p>
        </w:tc>
        <w:tc>
          <w:tcPr>
            <w:tcW w:w="762" w:type="dxa"/>
          </w:tcPr>
          <w:p w14:paraId="14A46F71" w14:textId="77777777" w:rsidR="005D0B82" w:rsidRDefault="005D0B82" w:rsidP="003E114A">
            <w:pPr>
              <w:jc w:val="both"/>
            </w:pPr>
            <w:r>
              <w:t>1</w:t>
            </w:r>
          </w:p>
        </w:tc>
        <w:tc>
          <w:tcPr>
            <w:tcW w:w="1084" w:type="dxa"/>
          </w:tcPr>
          <w:p w14:paraId="0353EE7D" w14:textId="77777777" w:rsidR="005D0B82" w:rsidRDefault="005D0B82" w:rsidP="003E114A">
            <w:pPr>
              <w:jc w:val="both"/>
            </w:pPr>
            <w:r>
              <w:t>0.6%</w:t>
            </w:r>
          </w:p>
        </w:tc>
      </w:tr>
      <w:tr w:rsidR="005D0B82" w14:paraId="6C0BD236" w14:textId="77777777" w:rsidTr="00CB7500">
        <w:trPr>
          <w:jc w:val="center"/>
        </w:trPr>
        <w:tc>
          <w:tcPr>
            <w:tcW w:w="4024" w:type="dxa"/>
          </w:tcPr>
          <w:p w14:paraId="43E31D26" w14:textId="77777777" w:rsidR="005D0B82" w:rsidRDefault="005D0B82" w:rsidP="003E114A">
            <w:pPr>
              <w:jc w:val="both"/>
            </w:pPr>
            <w:r>
              <w:t>CRT-D</w:t>
            </w:r>
          </w:p>
        </w:tc>
        <w:tc>
          <w:tcPr>
            <w:tcW w:w="762" w:type="dxa"/>
          </w:tcPr>
          <w:p w14:paraId="7AE2232D" w14:textId="77777777" w:rsidR="005D0B82" w:rsidRDefault="005D0B82" w:rsidP="003E114A">
            <w:pPr>
              <w:jc w:val="both"/>
            </w:pPr>
            <w:r>
              <w:t>16</w:t>
            </w:r>
          </w:p>
        </w:tc>
        <w:tc>
          <w:tcPr>
            <w:tcW w:w="1084" w:type="dxa"/>
          </w:tcPr>
          <w:p w14:paraId="506C7686" w14:textId="77777777" w:rsidR="005D0B82" w:rsidRDefault="00CB7500" w:rsidP="003E114A">
            <w:pPr>
              <w:jc w:val="both"/>
            </w:pPr>
            <w:r>
              <w:t>9.8%</w:t>
            </w:r>
          </w:p>
        </w:tc>
      </w:tr>
      <w:tr w:rsidR="005D0B82" w14:paraId="4E38C224" w14:textId="77777777" w:rsidTr="00CB7500">
        <w:trPr>
          <w:jc w:val="center"/>
        </w:trPr>
        <w:tc>
          <w:tcPr>
            <w:tcW w:w="5870" w:type="dxa"/>
            <w:gridSpan w:val="3"/>
          </w:tcPr>
          <w:p w14:paraId="1C8C5229" w14:textId="77777777" w:rsidR="005D0B82" w:rsidRDefault="005D0B82" w:rsidP="003E114A">
            <w:pPr>
              <w:jc w:val="both"/>
            </w:pPr>
            <w:r>
              <w:t>Of which 8 were upgrades from simpler devices</w:t>
            </w:r>
          </w:p>
        </w:tc>
      </w:tr>
      <w:tr w:rsidR="005D0B82" w14:paraId="23ACAB95" w14:textId="77777777" w:rsidTr="00CB7500">
        <w:trPr>
          <w:jc w:val="center"/>
        </w:trPr>
        <w:tc>
          <w:tcPr>
            <w:tcW w:w="4024" w:type="dxa"/>
          </w:tcPr>
          <w:p w14:paraId="727CB159" w14:textId="77777777" w:rsidR="005D0B82" w:rsidRDefault="008E26B8" w:rsidP="003E114A">
            <w:pPr>
              <w:jc w:val="both"/>
            </w:pPr>
            <w:r>
              <w:t>CRT-D Box Changes</w:t>
            </w:r>
          </w:p>
        </w:tc>
        <w:tc>
          <w:tcPr>
            <w:tcW w:w="762" w:type="dxa"/>
          </w:tcPr>
          <w:p w14:paraId="34AC8E1B" w14:textId="77777777" w:rsidR="005D0B82" w:rsidRDefault="008E26B8" w:rsidP="003E114A">
            <w:pPr>
              <w:jc w:val="both"/>
            </w:pPr>
            <w:r>
              <w:t>6</w:t>
            </w:r>
          </w:p>
        </w:tc>
        <w:tc>
          <w:tcPr>
            <w:tcW w:w="1084" w:type="dxa"/>
          </w:tcPr>
          <w:p w14:paraId="5AD47581" w14:textId="77777777" w:rsidR="005D0B82" w:rsidRDefault="00CB7500" w:rsidP="003E114A">
            <w:pPr>
              <w:jc w:val="both"/>
            </w:pPr>
            <w:r>
              <w:t>3.7%</w:t>
            </w:r>
          </w:p>
        </w:tc>
      </w:tr>
      <w:tr w:rsidR="005D0B82" w:rsidRPr="00CB7500" w14:paraId="7EF2E75A" w14:textId="77777777" w:rsidTr="00CB7500">
        <w:trPr>
          <w:jc w:val="center"/>
        </w:trPr>
        <w:tc>
          <w:tcPr>
            <w:tcW w:w="4024" w:type="dxa"/>
          </w:tcPr>
          <w:p w14:paraId="323F452D" w14:textId="77777777" w:rsidR="005D0B82" w:rsidRPr="00CB7500" w:rsidRDefault="00CB7500" w:rsidP="003E114A">
            <w:pPr>
              <w:jc w:val="both"/>
              <w:rPr>
                <w:b/>
              </w:rPr>
            </w:pPr>
            <w:r w:rsidRPr="00CB7500">
              <w:rPr>
                <w:b/>
              </w:rPr>
              <w:t>Total</w:t>
            </w:r>
          </w:p>
        </w:tc>
        <w:tc>
          <w:tcPr>
            <w:tcW w:w="762" w:type="dxa"/>
          </w:tcPr>
          <w:p w14:paraId="404DA537" w14:textId="77777777" w:rsidR="005D0B82" w:rsidRPr="00CB7500" w:rsidRDefault="00CB7500" w:rsidP="003E114A">
            <w:pPr>
              <w:jc w:val="both"/>
              <w:rPr>
                <w:b/>
              </w:rPr>
            </w:pPr>
            <w:r w:rsidRPr="00CB7500">
              <w:rPr>
                <w:b/>
              </w:rPr>
              <w:t>82</w:t>
            </w:r>
          </w:p>
        </w:tc>
        <w:tc>
          <w:tcPr>
            <w:tcW w:w="1084" w:type="dxa"/>
          </w:tcPr>
          <w:p w14:paraId="7DC80EF6" w14:textId="77777777" w:rsidR="005D0B82" w:rsidRPr="00CB7500" w:rsidRDefault="00CB7500" w:rsidP="003E114A">
            <w:pPr>
              <w:jc w:val="both"/>
              <w:rPr>
                <w:b/>
              </w:rPr>
            </w:pPr>
            <w:r w:rsidRPr="00CB7500">
              <w:rPr>
                <w:b/>
              </w:rPr>
              <w:t>50.3%</w:t>
            </w:r>
          </w:p>
        </w:tc>
      </w:tr>
    </w:tbl>
    <w:p w14:paraId="47A26ECA" w14:textId="77777777" w:rsidR="003E114A" w:rsidRDefault="003E114A" w:rsidP="003E114A">
      <w:pPr>
        <w:jc w:val="both"/>
      </w:pPr>
    </w:p>
    <w:p w14:paraId="3D812867" w14:textId="77777777" w:rsidR="00131505" w:rsidRDefault="00131505">
      <w:r>
        <w:br w:type="page"/>
      </w:r>
    </w:p>
    <w:p w14:paraId="1EF7DC46" w14:textId="77777777" w:rsidR="00CB7500" w:rsidRDefault="00CB7500" w:rsidP="003E114A">
      <w:pPr>
        <w:jc w:val="both"/>
      </w:pPr>
      <w:r>
        <w:t xml:space="preserve">I have been a consultant for 5 years now. During that time I have been refining my techniques. In particular we have worked hard to reduce our infection rate and I have switched back to using the cephalic vein where possible. </w:t>
      </w:r>
    </w:p>
    <w:p w14:paraId="25CA2FA4" w14:textId="77777777" w:rsidR="00A55A3B" w:rsidRDefault="00A55A3B" w:rsidP="003E114A">
      <w:pPr>
        <w:jc w:val="both"/>
      </w:pPr>
    </w:p>
    <w:p w14:paraId="5892619F" w14:textId="77777777" w:rsidR="00A55A3B" w:rsidRDefault="00A55A3B" w:rsidP="003E114A">
      <w:pPr>
        <w:jc w:val="both"/>
      </w:pPr>
      <w:r>
        <w:t>We have published an abstract detailing what we have done to reduce our infection rate and the consequences:</w:t>
      </w:r>
    </w:p>
    <w:p w14:paraId="02B7EFB3" w14:textId="77777777" w:rsidR="00A55A3B" w:rsidRDefault="00A55A3B" w:rsidP="003E114A">
      <w:pPr>
        <w:jc w:val="both"/>
      </w:pPr>
    </w:p>
    <w:p w14:paraId="65735ED2" w14:textId="77777777" w:rsidR="00A55A3B" w:rsidRDefault="00A55A3B" w:rsidP="003E114A">
      <w:pPr>
        <w:jc w:val="both"/>
      </w:pPr>
      <w:hyperlink r:id="rId7" w:history="1">
        <w:r w:rsidRPr="00230F8A">
          <w:rPr>
            <w:rStyle w:val="Hyperlink"/>
          </w:rPr>
          <w:t>http://europace.oxfordjournals.org/content/14/suppl_4/iv22.abstract?sid=ce10eb0d-3a91-4603-a073-12fdded80aff</w:t>
        </w:r>
      </w:hyperlink>
    </w:p>
    <w:p w14:paraId="1609925C" w14:textId="77777777" w:rsidR="00CB7500" w:rsidRDefault="00CB7500" w:rsidP="003E114A">
      <w:pPr>
        <w:jc w:val="both"/>
      </w:pPr>
    </w:p>
    <w:p w14:paraId="08408567" w14:textId="77777777" w:rsidR="00CB7500" w:rsidRDefault="00CB7500" w:rsidP="003E114A">
      <w:pPr>
        <w:jc w:val="both"/>
      </w:pPr>
      <w:r>
        <w:t>I have had the following complications</w:t>
      </w:r>
      <w:r w:rsidR="00131505">
        <w:t>/issues</w:t>
      </w:r>
      <w:r>
        <w:t>:</w:t>
      </w:r>
    </w:p>
    <w:p w14:paraId="2E4A79D0" w14:textId="77777777" w:rsidR="00CB7500" w:rsidRDefault="00CB7500" w:rsidP="003E114A">
      <w:pPr>
        <w:jc w:val="both"/>
      </w:pPr>
    </w:p>
    <w:p w14:paraId="7A2FFFA5" w14:textId="77777777" w:rsidR="00CB7500" w:rsidRDefault="00CB7500" w:rsidP="00CB7500">
      <w:pPr>
        <w:pStyle w:val="ListParagraph"/>
        <w:numPr>
          <w:ilvl w:val="0"/>
          <w:numId w:val="1"/>
        </w:numPr>
        <w:jc w:val="both"/>
      </w:pPr>
      <w:r>
        <w:t>Pneumothorax requiring chest drain</w:t>
      </w:r>
    </w:p>
    <w:p w14:paraId="1E6F4A0A" w14:textId="77777777" w:rsidR="00CB7500" w:rsidRDefault="00CB7500" w:rsidP="00CB7500">
      <w:pPr>
        <w:ind w:left="720"/>
        <w:jc w:val="both"/>
      </w:pPr>
    </w:p>
    <w:p w14:paraId="2E782718" w14:textId="77777777" w:rsidR="00CB7500" w:rsidRDefault="00CB7500" w:rsidP="00CB7500">
      <w:pPr>
        <w:ind w:left="720"/>
        <w:jc w:val="both"/>
      </w:pPr>
      <w:r>
        <w:t>This was a consequence of an upgrade from a dual chamber pacemaker to biventricular ICD (CRT-D). I had already punctured the subclavian once and had a venogram to assist. He required a small</w:t>
      </w:r>
      <w:r w:rsidR="00E573F5">
        <w:t xml:space="preserve"> bore percutaneous</w:t>
      </w:r>
      <w:r>
        <w:t xml:space="preserve"> chest drain and was discharged a few days later. </w:t>
      </w:r>
    </w:p>
    <w:p w14:paraId="528085CE" w14:textId="77777777" w:rsidR="00CB7500" w:rsidRDefault="00CB7500" w:rsidP="00CB7500">
      <w:pPr>
        <w:jc w:val="both"/>
      </w:pPr>
    </w:p>
    <w:p w14:paraId="279A119F" w14:textId="77777777" w:rsidR="00CB7500" w:rsidRDefault="00CB7500" w:rsidP="00CB7500">
      <w:pPr>
        <w:pStyle w:val="ListParagraph"/>
        <w:numPr>
          <w:ilvl w:val="0"/>
          <w:numId w:val="1"/>
        </w:numPr>
        <w:jc w:val="both"/>
      </w:pPr>
      <w:r>
        <w:t>Pneumothorax requiring aspiration</w:t>
      </w:r>
    </w:p>
    <w:p w14:paraId="5CA2B5CF" w14:textId="77777777" w:rsidR="00CB7500" w:rsidRDefault="00CB7500" w:rsidP="00CB7500">
      <w:pPr>
        <w:pStyle w:val="ListParagraph"/>
        <w:jc w:val="both"/>
      </w:pPr>
    </w:p>
    <w:p w14:paraId="6925B71D" w14:textId="77777777" w:rsidR="00CB7500" w:rsidRDefault="00CB7500" w:rsidP="00CB7500">
      <w:pPr>
        <w:pStyle w:val="ListParagraph"/>
        <w:jc w:val="both"/>
      </w:pPr>
      <w:r>
        <w:t xml:space="preserve">This man was having a dual chamber pacemaker. He was already an inpatient and had presented with complete heart block. </w:t>
      </w:r>
      <w:r w:rsidR="00E573F5">
        <w:t>I could not identify a cephalic vein. The first subclavian puncture was unremarkable. On the second pass I aspirated air. He required aspiration of the pneumothorax later that day. He remained an inpatient because of other issues for a number of other reasons after this (confusion, social placement).</w:t>
      </w:r>
    </w:p>
    <w:p w14:paraId="66EEC978" w14:textId="77777777" w:rsidR="00E573F5" w:rsidRDefault="00E573F5" w:rsidP="00E573F5">
      <w:pPr>
        <w:jc w:val="both"/>
      </w:pPr>
    </w:p>
    <w:p w14:paraId="71B3FD0C" w14:textId="77777777" w:rsidR="00E573F5" w:rsidRDefault="00E573F5" w:rsidP="00E573F5">
      <w:pPr>
        <w:pStyle w:val="ListParagraph"/>
        <w:numPr>
          <w:ilvl w:val="0"/>
          <w:numId w:val="1"/>
        </w:numPr>
        <w:jc w:val="both"/>
      </w:pPr>
      <w:r>
        <w:t>Atrial lead reposition</w:t>
      </w:r>
    </w:p>
    <w:p w14:paraId="20FFAA40" w14:textId="77777777" w:rsidR="00E573F5" w:rsidRDefault="00E573F5" w:rsidP="00E573F5">
      <w:pPr>
        <w:pStyle w:val="ListParagraph"/>
        <w:jc w:val="both"/>
      </w:pPr>
    </w:p>
    <w:p w14:paraId="0B331A84" w14:textId="77777777" w:rsidR="00E573F5" w:rsidRDefault="00E573F5" w:rsidP="00E573F5">
      <w:pPr>
        <w:pStyle w:val="ListParagraph"/>
        <w:jc w:val="both"/>
      </w:pPr>
      <w:proofErr w:type="gramStart"/>
      <w:r>
        <w:t>Somewhat frustrating displacement of an atrial lead, the only one</w:t>
      </w:r>
      <w:r w:rsidR="00131505">
        <w:t>,</w:t>
      </w:r>
      <w:r>
        <w:t xml:space="preserve"> to my knowledge</w:t>
      </w:r>
      <w:r w:rsidR="00131505">
        <w:t>, that I have had</w:t>
      </w:r>
      <w:r>
        <w:t xml:space="preserve"> in the last 5 years.</w:t>
      </w:r>
      <w:proofErr w:type="gramEnd"/>
      <w:r>
        <w:t xml:space="preserve"> </w:t>
      </w:r>
      <w:r w:rsidR="00131505">
        <w:t>I r</w:t>
      </w:r>
      <w:r>
        <w:t xml:space="preserve">epositioned </w:t>
      </w:r>
      <w:r w:rsidR="00131505">
        <w:t xml:space="preserve">it </w:t>
      </w:r>
      <w:r>
        <w:t xml:space="preserve">a couple of days later without consequence. </w:t>
      </w:r>
    </w:p>
    <w:p w14:paraId="428CF572" w14:textId="77777777" w:rsidR="00E573F5" w:rsidRDefault="00E573F5" w:rsidP="00E573F5">
      <w:pPr>
        <w:jc w:val="both"/>
      </w:pPr>
    </w:p>
    <w:p w14:paraId="34B0F8CC" w14:textId="77777777" w:rsidR="00E573F5" w:rsidRDefault="00E573F5" w:rsidP="00E573F5">
      <w:pPr>
        <w:pStyle w:val="ListParagraph"/>
        <w:numPr>
          <w:ilvl w:val="0"/>
          <w:numId w:val="1"/>
        </w:numPr>
        <w:jc w:val="both"/>
      </w:pPr>
      <w:r>
        <w:t>Device related infection within 3 months</w:t>
      </w:r>
    </w:p>
    <w:p w14:paraId="0445708C" w14:textId="77777777" w:rsidR="00E573F5" w:rsidRDefault="00E573F5" w:rsidP="00E573F5">
      <w:pPr>
        <w:pStyle w:val="ListParagraph"/>
        <w:jc w:val="both"/>
      </w:pPr>
    </w:p>
    <w:p w14:paraId="76FB5471" w14:textId="77777777" w:rsidR="00E573F5" w:rsidRDefault="00E573F5" w:rsidP="00E573F5">
      <w:pPr>
        <w:pStyle w:val="ListParagraph"/>
        <w:jc w:val="both"/>
      </w:pPr>
      <w:r>
        <w:t>At 11 weeks post implant a patient who I had performed a box change and new V lead on (his old V lead had failed) r</w:t>
      </w:r>
      <w:r w:rsidR="00A55A3B">
        <w:t xml:space="preserve">epresented with </w:t>
      </w:r>
      <w:bookmarkStart w:id="0" w:name="_GoBack"/>
      <w:r w:rsidR="00A55A3B" w:rsidRPr="00A55A3B">
        <w:rPr>
          <w:i/>
        </w:rPr>
        <w:t>S</w:t>
      </w:r>
      <w:r w:rsidRPr="00A55A3B">
        <w:rPr>
          <w:i/>
        </w:rPr>
        <w:t xml:space="preserve">taphylococcus </w:t>
      </w:r>
      <w:proofErr w:type="spellStart"/>
      <w:r w:rsidRPr="00A55A3B">
        <w:rPr>
          <w:i/>
        </w:rPr>
        <w:t>aureus</w:t>
      </w:r>
      <w:proofErr w:type="spellEnd"/>
      <w:r>
        <w:t xml:space="preserve"> </w:t>
      </w:r>
      <w:bookmarkEnd w:id="0"/>
      <w:r>
        <w:t xml:space="preserve">septicaemia. The implant site looked fine, but there was no other obvious source of infection. He was old and frail and had dementia. It was decided after discussion with his family that antibiotics should be the </w:t>
      </w:r>
      <w:proofErr w:type="gramStart"/>
      <w:r>
        <w:t>ceiling</w:t>
      </w:r>
      <w:proofErr w:type="gramEnd"/>
      <w:r>
        <w:t xml:space="preserve"> of care and he should not have device extraction. He initially did well, but then declined and died. I have had no other infections related to device implantation this year. </w:t>
      </w:r>
    </w:p>
    <w:p w14:paraId="22E36BFD" w14:textId="77777777" w:rsidR="00E573F5" w:rsidRDefault="00E573F5" w:rsidP="00E573F5">
      <w:pPr>
        <w:jc w:val="both"/>
      </w:pPr>
    </w:p>
    <w:p w14:paraId="09B282FC" w14:textId="77777777" w:rsidR="00A55A3B" w:rsidRDefault="00A55A3B">
      <w:r>
        <w:br w:type="page"/>
      </w:r>
    </w:p>
    <w:p w14:paraId="2057A842" w14:textId="77777777" w:rsidR="00E573F5" w:rsidRDefault="00E573F5" w:rsidP="00E573F5">
      <w:pPr>
        <w:pStyle w:val="ListParagraph"/>
        <w:numPr>
          <w:ilvl w:val="0"/>
          <w:numId w:val="1"/>
        </w:numPr>
        <w:jc w:val="both"/>
      </w:pPr>
      <w:r>
        <w:t>Minor wound issue</w:t>
      </w:r>
    </w:p>
    <w:p w14:paraId="5DDEB3FB" w14:textId="77777777" w:rsidR="00E573F5" w:rsidRDefault="00E573F5" w:rsidP="00E573F5">
      <w:pPr>
        <w:pStyle w:val="ListParagraph"/>
        <w:jc w:val="both"/>
      </w:pPr>
    </w:p>
    <w:p w14:paraId="43AB9361" w14:textId="77777777" w:rsidR="00E573F5" w:rsidRDefault="00E573F5" w:rsidP="00E573F5">
      <w:pPr>
        <w:pStyle w:val="ListParagraph"/>
        <w:jc w:val="both"/>
      </w:pPr>
      <w:r>
        <w:t xml:space="preserve">On Christmas Eve around 4.30 pm I was asked to look at a wound from earlier in the day. It had bled a little. Given the time and the upcoming break I took her back to the lab. Once there the wound looked fine. On inspection there was a small area of superficial bleeding and on balance I inserted a single </w:t>
      </w:r>
      <w:proofErr w:type="spellStart"/>
      <w:r>
        <w:t>subcuticular</w:t>
      </w:r>
      <w:proofErr w:type="spellEnd"/>
      <w:r>
        <w:t xml:space="preserve"> suture to cover the area. At any other time I would have left it alone.</w:t>
      </w:r>
    </w:p>
    <w:p w14:paraId="2841B8FF" w14:textId="77777777" w:rsidR="00E573F5" w:rsidRDefault="00E573F5" w:rsidP="00E573F5">
      <w:pPr>
        <w:jc w:val="both"/>
      </w:pPr>
    </w:p>
    <w:p w14:paraId="7C62D06C" w14:textId="77777777" w:rsidR="00E573F5" w:rsidRDefault="00E573F5" w:rsidP="00E573F5">
      <w:pPr>
        <w:pStyle w:val="ListParagraph"/>
        <w:numPr>
          <w:ilvl w:val="0"/>
          <w:numId w:val="1"/>
        </w:numPr>
        <w:jc w:val="both"/>
      </w:pPr>
      <w:r>
        <w:t xml:space="preserve">Failed upgrade to CRT. </w:t>
      </w:r>
    </w:p>
    <w:p w14:paraId="75E2AB81" w14:textId="77777777" w:rsidR="00E573F5" w:rsidRDefault="00E573F5" w:rsidP="00E573F5">
      <w:pPr>
        <w:jc w:val="both"/>
      </w:pPr>
    </w:p>
    <w:p w14:paraId="13DA5FD7" w14:textId="77777777" w:rsidR="00E573F5" w:rsidRDefault="00E573F5" w:rsidP="00E573F5">
      <w:pPr>
        <w:ind w:left="720"/>
        <w:jc w:val="both"/>
      </w:pPr>
      <w:r>
        <w:t>This gentleman had unfavourable coronary</w:t>
      </w:r>
      <w:r w:rsidR="00131505">
        <w:t xml:space="preserve"> venous</w:t>
      </w:r>
      <w:r>
        <w:t xml:space="preserve"> anatomy.</w:t>
      </w:r>
      <w:r w:rsidR="00131505">
        <w:t xml:space="preserve"> Despite trying a wide number of different locations the lead was unstable or there was little margin between the lead threshold </w:t>
      </w:r>
      <w:proofErr w:type="gramStart"/>
      <w:r w:rsidR="00131505">
        <w:t xml:space="preserve">and </w:t>
      </w:r>
      <w:r>
        <w:t xml:space="preserve"> </w:t>
      </w:r>
      <w:r w:rsidR="00131505">
        <w:t>diaphragmatic</w:t>
      </w:r>
      <w:proofErr w:type="gramEnd"/>
      <w:r w:rsidR="00131505">
        <w:t xml:space="preserve"> pacing. I send him for a percutaneous lead. </w:t>
      </w:r>
    </w:p>
    <w:p w14:paraId="3B9B64D7" w14:textId="77777777" w:rsidR="00E573F5" w:rsidRDefault="00E573F5" w:rsidP="00E573F5">
      <w:pPr>
        <w:jc w:val="both"/>
      </w:pPr>
    </w:p>
    <w:p w14:paraId="53786C9D" w14:textId="77777777" w:rsidR="00E573F5" w:rsidRPr="003E114A" w:rsidRDefault="00E573F5" w:rsidP="00E573F5">
      <w:pPr>
        <w:jc w:val="both"/>
      </w:pPr>
    </w:p>
    <w:sectPr w:rsidR="00E573F5" w:rsidRPr="003E114A" w:rsidSect="000F40D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5B5E"/>
    <w:multiLevelType w:val="hybridMultilevel"/>
    <w:tmpl w:val="7F686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4A"/>
    <w:rsid w:val="000F40D9"/>
    <w:rsid w:val="00131505"/>
    <w:rsid w:val="003761B0"/>
    <w:rsid w:val="003E114A"/>
    <w:rsid w:val="005D0B82"/>
    <w:rsid w:val="008E26B8"/>
    <w:rsid w:val="00A55A3B"/>
    <w:rsid w:val="00BF3D7F"/>
    <w:rsid w:val="00CB7500"/>
    <w:rsid w:val="00E5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912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3E11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14A"/>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3E114A"/>
    <w:rPr>
      <w:color w:val="0000FF" w:themeColor="hyperlink"/>
      <w:u w:val="single"/>
    </w:rPr>
  </w:style>
  <w:style w:type="table" w:styleId="TableGrid">
    <w:name w:val="Table Grid"/>
    <w:basedOn w:val="TableNormal"/>
    <w:uiPriority w:val="59"/>
    <w:rsid w:val="003E1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75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3E11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14A"/>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3E114A"/>
    <w:rPr>
      <w:color w:val="0000FF" w:themeColor="hyperlink"/>
      <w:u w:val="single"/>
    </w:rPr>
  </w:style>
  <w:style w:type="table" w:styleId="TableGrid">
    <w:name w:val="Table Grid"/>
    <w:basedOn w:val="TableNormal"/>
    <w:uiPriority w:val="59"/>
    <w:rsid w:val="003E1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7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jcardio.co.uk/2012/05/pacemaker-complications-in-a-district-general-hospital/" TargetMode="External"/><Relationship Id="rId7" Type="http://schemas.openxmlformats.org/officeDocument/2006/relationships/hyperlink" Target="http://europace.oxfordjournals.org/content/14/suppl_4/iv22.abstract?sid=ce10eb0d-3a91-4603-a073-12fdded80af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744</Words>
  <Characters>4243</Characters>
  <Application>Microsoft Macintosh Word</Application>
  <DocSecurity>0</DocSecurity>
  <Lines>35</Lines>
  <Paragraphs>9</Paragraphs>
  <ScaleCrop>false</ScaleCrop>
  <Company>Dr Mark J Dayer</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Dayer</dc:creator>
  <cp:keywords/>
  <dc:description/>
  <cp:lastModifiedBy>Mark Dayer</cp:lastModifiedBy>
  <cp:revision>2</cp:revision>
  <dcterms:created xsi:type="dcterms:W3CDTF">2013-01-01T06:45:00Z</dcterms:created>
  <dcterms:modified xsi:type="dcterms:W3CDTF">2013-01-01T08:03:00Z</dcterms:modified>
</cp:coreProperties>
</file>