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F805" w14:textId="77777777" w:rsidR="000556D6" w:rsidRPr="00951B11" w:rsidRDefault="000556D6" w:rsidP="00951B11">
      <w:pPr>
        <w:pStyle w:val="Heading1"/>
        <w:jc w:val="center"/>
        <w:rPr>
          <w:rFonts w:ascii="Calibri" w:hAnsi="Calibri" w:cs="Calibri"/>
          <w:sz w:val="28"/>
          <w:szCs w:val="28"/>
        </w:rPr>
      </w:pPr>
      <w:r w:rsidRPr="00951B11">
        <w:rPr>
          <w:rFonts w:ascii="Calibri" w:hAnsi="Calibri" w:cs="Calibri"/>
          <w:sz w:val="28"/>
          <w:szCs w:val="28"/>
        </w:rPr>
        <w:t>Anticoagulation guidelines for atrial fibrillation</w:t>
      </w:r>
      <w:r w:rsidR="00C116DC" w:rsidRPr="00951B11">
        <w:rPr>
          <w:rFonts w:ascii="Calibri" w:hAnsi="Calibri" w:cs="Calibri"/>
          <w:sz w:val="28"/>
          <w:szCs w:val="28"/>
        </w:rPr>
        <w:t xml:space="preserve"> in adults</w:t>
      </w:r>
    </w:p>
    <w:p w14:paraId="310385E6" w14:textId="77777777" w:rsidR="000556D6" w:rsidRPr="007861E4" w:rsidRDefault="000556D6" w:rsidP="000556D6">
      <w:pPr>
        <w:jc w:val="both"/>
        <w:rPr>
          <w:rFonts w:ascii="Calibri" w:hAnsi="Calibri" w:cs="Calibri"/>
        </w:rPr>
      </w:pPr>
    </w:p>
    <w:p w14:paraId="6F34973A" w14:textId="77777777" w:rsidR="00F642F4" w:rsidRDefault="000556D6" w:rsidP="00F642F4">
      <w:pPr>
        <w:jc w:val="both"/>
        <w:rPr>
          <w:rFonts w:ascii="Calibri" w:hAnsi="Calibri" w:cs="Calibri"/>
        </w:rPr>
      </w:pPr>
      <w:r w:rsidRPr="007861E4">
        <w:rPr>
          <w:rFonts w:ascii="Calibri" w:hAnsi="Calibri" w:cs="Calibri"/>
        </w:rPr>
        <w:t xml:space="preserve">Atrial fibrillation is a common </w:t>
      </w:r>
      <w:r w:rsidR="005C03ED" w:rsidRPr="007861E4">
        <w:rPr>
          <w:rFonts w:ascii="Calibri" w:hAnsi="Calibri" w:cs="Calibri"/>
        </w:rPr>
        <w:t>condition that</w:t>
      </w:r>
      <w:r w:rsidRPr="007861E4">
        <w:rPr>
          <w:rFonts w:ascii="Calibri" w:hAnsi="Calibri" w:cs="Calibri"/>
        </w:rPr>
        <w:t xml:space="preserve"> increases the risk of stroke</w:t>
      </w:r>
      <w:r w:rsidR="005C03ED">
        <w:rPr>
          <w:rFonts w:ascii="Calibri" w:hAnsi="Calibri" w:cs="Calibri"/>
        </w:rPr>
        <w:t xml:space="preserve"> and other embolic events</w:t>
      </w:r>
      <w:r w:rsidRPr="007861E4">
        <w:rPr>
          <w:rFonts w:ascii="Calibri" w:hAnsi="Calibri" w:cs="Calibri"/>
        </w:rPr>
        <w:t xml:space="preserve">. </w:t>
      </w:r>
      <w:r w:rsidR="00F642F4">
        <w:rPr>
          <w:rFonts w:ascii="Calibri" w:hAnsi="Calibri" w:cs="Calibri"/>
        </w:rPr>
        <w:t>Anticoagulation can reduce the risk of stroke by ⅔, but increases the risk of bleeding and therefore careful weighting of the risks and ben</w:t>
      </w:r>
      <w:r w:rsidR="006D4AC7">
        <w:rPr>
          <w:rFonts w:ascii="Calibri" w:hAnsi="Calibri" w:cs="Calibri"/>
        </w:rPr>
        <w:t>efits in individual patients is</w:t>
      </w:r>
      <w:r w:rsidR="00F642F4">
        <w:rPr>
          <w:rFonts w:ascii="Calibri" w:hAnsi="Calibri" w:cs="Calibri"/>
        </w:rPr>
        <w:t xml:space="preserve"> required. </w:t>
      </w:r>
      <w:r w:rsidR="00F642F4" w:rsidRPr="00D125ED">
        <w:rPr>
          <w:rFonts w:ascii="Calibri" w:hAnsi="Calibri" w:cs="Calibri"/>
        </w:rPr>
        <w:t>Please note that guidelines are not rigid prescriptions for all patients and are simply there to guide and inform decision-making. By definition, following a guideline is never mandatory (Wikipedia).</w:t>
      </w:r>
    </w:p>
    <w:p w14:paraId="4F9A81A2" w14:textId="77777777" w:rsidR="00F642F4" w:rsidRPr="007861E4" w:rsidRDefault="00F642F4" w:rsidP="00F642F4">
      <w:pPr>
        <w:jc w:val="both"/>
        <w:rPr>
          <w:rFonts w:ascii="Calibri" w:hAnsi="Calibri" w:cs="Calibri"/>
        </w:rPr>
      </w:pPr>
    </w:p>
    <w:p w14:paraId="756BFD8A" w14:textId="77777777" w:rsidR="00D125ED" w:rsidRDefault="000556D6" w:rsidP="000556D6">
      <w:pPr>
        <w:jc w:val="both"/>
        <w:rPr>
          <w:rFonts w:asciiTheme="majorHAnsi" w:hAnsiTheme="majorHAnsi"/>
        </w:rPr>
      </w:pPr>
      <w:r w:rsidRPr="007861E4">
        <w:rPr>
          <w:rFonts w:ascii="Calibri" w:hAnsi="Calibri" w:cs="Calibri"/>
        </w:rPr>
        <w:t>This policy will focus on anticoagulation only, rather than the general management of patients with atrial fibrillation.</w:t>
      </w:r>
      <w:r w:rsidR="00951B11">
        <w:rPr>
          <w:rFonts w:ascii="Calibri" w:hAnsi="Calibri" w:cs="Calibri"/>
        </w:rPr>
        <w:t xml:space="preserve"> </w:t>
      </w:r>
      <w:r w:rsidR="00951B11">
        <w:rPr>
          <w:rFonts w:asciiTheme="majorHAnsi" w:hAnsiTheme="majorHAnsi"/>
        </w:rPr>
        <w:t xml:space="preserve">These recommendations are based on the </w:t>
      </w:r>
      <w:hyperlink r:id="rId7" w:history="1">
        <w:r w:rsidR="00951B11" w:rsidRPr="00932404">
          <w:rPr>
            <w:rStyle w:val="Hyperlink"/>
            <w:rFonts w:asciiTheme="majorHAnsi" w:hAnsiTheme="majorHAnsi"/>
          </w:rPr>
          <w:t>ESC guidelines</w:t>
        </w:r>
      </w:hyperlink>
      <w:r w:rsidR="00951B11">
        <w:rPr>
          <w:rFonts w:asciiTheme="majorHAnsi" w:hAnsiTheme="majorHAnsi"/>
        </w:rPr>
        <w:t xml:space="preserve"> for the management of atrial fibrillation published in 2010</w:t>
      </w:r>
      <w:r w:rsidR="005E216F">
        <w:rPr>
          <w:rFonts w:asciiTheme="majorHAnsi" w:hAnsiTheme="majorHAnsi"/>
        </w:rPr>
        <w:t xml:space="preserve"> and the 2012 update</w:t>
      </w:r>
      <w:r w:rsidR="00D125ED">
        <w:rPr>
          <w:rFonts w:asciiTheme="majorHAnsi" w:hAnsiTheme="majorHAnsi"/>
        </w:rPr>
        <w:t>.</w:t>
      </w:r>
    </w:p>
    <w:p w14:paraId="4AEA813B" w14:textId="77777777" w:rsidR="000556D6" w:rsidRPr="007861E4" w:rsidRDefault="000556D6" w:rsidP="000556D6">
      <w:pPr>
        <w:jc w:val="both"/>
        <w:rPr>
          <w:rFonts w:ascii="Calibri" w:hAnsi="Calibri" w:cs="Calibri"/>
        </w:rPr>
      </w:pPr>
    </w:p>
    <w:p w14:paraId="216C9611" w14:textId="77777777" w:rsidR="000556D6" w:rsidRPr="007861E4" w:rsidRDefault="000556D6" w:rsidP="000556D6">
      <w:pPr>
        <w:numPr>
          <w:ilvl w:val="0"/>
          <w:numId w:val="1"/>
        </w:numPr>
        <w:jc w:val="both"/>
        <w:rPr>
          <w:rFonts w:ascii="Calibri" w:hAnsi="Calibri" w:cs="Calibri"/>
        </w:rPr>
      </w:pPr>
      <w:r w:rsidRPr="007861E4">
        <w:rPr>
          <w:rFonts w:ascii="Calibri" w:hAnsi="Calibri" w:cs="Calibri"/>
        </w:rPr>
        <w:t>In all patients with atrial fibrillation/flutter or paroxysmal atrial fibrillation/flutter (they should be treated the same) consideration should be given to anticoagulation.</w:t>
      </w:r>
    </w:p>
    <w:p w14:paraId="5DC5D7A6" w14:textId="77777777" w:rsidR="000556D6" w:rsidRPr="007861E4" w:rsidRDefault="000556D6" w:rsidP="000556D6">
      <w:pPr>
        <w:ind w:left="720"/>
        <w:jc w:val="both"/>
        <w:rPr>
          <w:rFonts w:ascii="Calibri" w:hAnsi="Calibri" w:cs="Calibri"/>
        </w:rPr>
      </w:pPr>
    </w:p>
    <w:p w14:paraId="09EEF478" w14:textId="77777777" w:rsidR="000556D6" w:rsidRDefault="000556D6" w:rsidP="000556D6">
      <w:pPr>
        <w:numPr>
          <w:ilvl w:val="0"/>
          <w:numId w:val="1"/>
        </w:numPr>
        <w:jc w:val="both"/>
        <w:rPr>
          <w:rFonts w:ascii="Calibri" w:hAnsi="Calibri" w:cs="Calibri"/>
        </w:rPr>
      </w:pPr>
      <w:r w:rsidRPr="007861E4">
        <w:rPr>
          <w:rFonts w:ascii="Calibri" w:hAnsi="Calibri" w:cs="Calibri"/>
        </w:rPr>
        <w:t>The CHA</w:t>
      </w:r>
      <w:r w:rsidRPr="007861E4">
        <w:rPr>
          <w:rFonts w:ascii="Calibri" w:hAnsi="Calibri" w:cs="Calibri"/>
          <w:vertAlign w:val="subscript"/>
        </w:rPr>
        <w:t>2</w:t>
      </w:r>
      <w:r w:rsidRPr="007861E4">
        <w:rPr>
          <w:rFonts w:ascii="Calibri" w:hAnsi="Calibri" w:cs="Calibri"/>
        </w:rPr>
        <w:t>DS</w:t>
      </w:r>
      <w:r w:rsidRPr="007861E4">
        <w:rPr>
          <w:rFonts w:ascii="Calibri" w:hAnsi="Calibri" w:cs="Calibri"/>
          <w:vertAlign w:val="subscript"/>
        </w:rPr>
        <w:t>2</w:t>
      </w:r>
      <w:r w:rsidR="009260C3">
        <w:rPr>
          <w:rFonts w:ascii="Calibri" w:hAnsi="Calibri" w:cs="Calibri"/>
        </w:rPr>
        <w:t>-V</w:t>
      </w:r>
      <w:r w:rsidRPr="007861E4">
        <w:rPr>
          <w:rFonts w:ascii="Calibri" w:hAnsi="Calibri" w:cs="Calibri"/>
        </w:rPr>
        <w:t>ASc score sh</w:t>
      </w:r>
      <w:r>
        <w:rPr>
          <w:rFonts w:ascii="Calibri" w:hAnsi="Calibri" w:cs="Calibri"/>
        </w:rPr>
        <w:t>ould be used to determine risk (table 1).</w:t>
      </w:r>
      <w:r w:rsidR="00C26A98">
        <w:rPr>
          <w:rFonts w:ascii="Calibri" w:hAnsi="Calibri" w:cs="Calibri"/>
        </w:rPr>
        <w:t xml:space="preserve"> </w:t>
      </w:r>
      <w:r w:rsidR="006D4AC7">
        <w:rPr>
          <w:rFonts w:ascii="Calibri" w:hAnsi="Calibri" w:cs="Calibri"/>
        </w:rPr>
        <w:t>Probably the best</w:t>
      </w:r>
      <w:r w:rsidR="00C26A98">
        <w:rPr>
          <w:rFonts w:ascii="Calibri" w:hAnsi="Calibri" w:cs="Calibri"/>
        </w:rPr>
        <w:t xml:space="preserve"> estimate of the annual risk</w:t>
      </w:r>
      <w:r w:rsidR="00F64B9F">
        <w:rPr>
          <w:rFonts w:ascii="Calibri" w:hAnsi="Calibri" w:cs="Calibri"/>
        </w:rPr>
        <w:t xml:space="preserve"> over 10 years</w:t>
      </w:r>
      <w:r w:rsidR="00C26A98">
        <w:rPr>
          <w:rFonts w:ascii="Calibri" w:hAnsi="Calibri" w:cs="Calibri"/>
        </w:rPr>
        <w:t xml:space="preserve"> of an embolic event</w:t>
      </w:r>
      <w:r w:rsidR="003D3BD1">
        <w:rPr>
          <w:rFonts w:ascii="Calibri" w:hAnsi="Calibri" w:cs="Calibri"/>
        </w:rPr>
        <w:t xml:space="preserve"> according to the score can be found in table 2.</w:t>
      </w:r>
      <w:r w:rsidR="009260C3">
        <w:rPr>
          <w:rFonts w:ascii="Calibri" w:hAnsi="Calibri" w:cs="Calibri"/>
        </w:rPr>
        <w:t xml:space="preserve"> Note that heart failure refers to moderate to severe left ventricular systolic dysfunction, or recently decompensated heart failure requiring hospital admission, regardless of ejection fraction. Women who have no other risk factors (i.e. women who are &lt; 65 years with lone AF) should also be regarded as truly low risk and treated as though they have a </w:t>
      </w:r>
      <w:r w:rsidR="009260C3" w:rsidRPr="007861E4">
        <w:rPr>
          <w:rFonts w:ascii="Calibri" w:hAnsi="Calibri" w:cs="Calibri"/>
        </w:rPr>
        <w:t>CHA</w:t>
      </w:r>
      <w:r w:rsidR="009260C3" w:rsidRPr="007861E4">
        <w:rPr>
          <w:rFonts w:ascii="Calibri" w:hAnsi="Calibri" w:cs="Calibri"/>
          <w:vertAlign w:val="subscript"/>
        </w:rPr>
        <w:t>2</w:t>
      </w:r>
      <w:r w:rsidR="009260C3" w:rsidRPr="007861E4">
        <w:rPr>
          <w:rFonts w:ascii="Calibri" w:hAnsi="Calibri" w:cs="Calibri"/>
        </w:rPr>
        <w:t>DS</w:t>
      </w:r>
      <w:r w:rsidR="009260C3" w:rsidRPr="007861E4">
        <w:rPr>
          <w:rFonts w:ascii="Calibri" w:hAnsi="Calibri" w:cs="Calibri"/>
          <w:vertAlign w:val="subscript"/>
        </w:rPr>
        <w:t>2</w:t>
      </w:r>
      <w:r w:rsidR="009260C3">
        <w:rPr>
          <w:rFonts w:ascii="Calibri" w:hAnsi="Calibri" w:cs="Calibri"/>
        </w:rPr>
        <w:t>-V</w:t>
      </w:r>
      <w:r w:rsidR="009260C3" w:rsidRPr="007861E4">
        <w:rPr>
          <w:rFonts w:ascii="Calibri" w:hAnsi="Calibri" w:cs="Calibri"/>
        </w:rPr>
        <w:t>ASc</w:t>
      </w:r>
      <w:r w:rsidR="009260C3">
        <w:rPr>
          <w:rFonts w:ascii="Calibri" w:hAnsi="Calibri" w:cs="Calibri"/>
        </w:rPr>
        <w:t xml:space="preserve"> score of 0.</w:t>
      </w:r>
    </w:p>
    <w:p w14:paraId="2F25480E" w14:textId="77777777" w:rsidR="000556D6" w:rsidRDefault="000556D6" w:rsidP="000556D6">
      <w:pPr>
        <w:pStyle w:val="ListParagraph"/>
        <w:rPr>
          <w:rFonts w:ascii="Calibri" w:hAnsi="Calibri" w:cs="Calibri"/>
        </w:rPr>
      </w:pPr>
    </w:p>
    <w:p w14:paraId="444A1E39" w14:textId="77777777" w:rsidR="000556D6" w:rsidRPr="000556D6" w:rsidRDefault="000556D6" w:rsidP="000556D6">
      <w:pPr>
        <w:ind w:left="720" w:firstLine="720"/>
        <w:rPr>
          <w:rFonts w:asciiTheme="majorHAnsi" w:hAnsiTheme="majorHAnsi" w:cstheme="majorHAnsi"/>
          <w:b/>
        </w:rPr>
      </w:pPr>
      <w:r w:rsidRPr="000556D6">
        <w:rPr>
          <w:rFonts w:asciiTheme="majorHAnsi" w:hAnsiTheme="majorHAnsi" w:cstheme="majorHAnsi"/>
          <w:b/>
        </w:rPr>
        <w:t>Table 1</w:t>
      </w:r>
    </w:p>
    <w:tbl>
      <w:tblPr>
        <w:tblStyle w:val="LightList-Accent1"/>
        <w:tblW w:w="5514" w:type="dxa"/>
        <w:jc w:val="center"/>
        <w:tblInd w:w="1391" w:type="dxa"/>
        <w:tblLook w:val="04A0" w:firstRow="1" w:lastRow="0" w:firstColumn="1" w:lastColumn="0" w:noHBand="0" w:noVBand="1"/>
      </w:tblPr>
      <w:tblGrid>
        <w:gridCol w:w="552"/>
        <w:gridCol w:w="4196"/>
        <w:gridCol w:w="766"/>
      </w:tblGrid>
      <w:tr w:rsidR="003D3BD1" w:rsidRPr="00EB621B" w14:paraId="616EA96C" w14:textId="77777777" w:rsidTr="003D3B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14:paraId="6A764214" w14:textId="77777777" w:rsidR="003D3BD1" w:rsidRPr="00EB621B" w:rsidRDefault="003D3BD1" w:rsidP="003D3BD1">
            <w:pPr>
              <w:jc w:val="center"/>
              <w:rPr>
                <w:rFonts w:asciiTheme="majorHAnsi" w:hAnsiTheme="majorHAnsi"/>
              </w:rPr>
            </w:pPr>
          </w:p>
        </w:tc>
        <w:tc>
          <w:tcPr>
            <w:tcW w:w="4196" w:type="dxa"/>
          </w:tcPr>
          <w:p w14:paraId="55D1DD25" w14:textId="77777777" w:rsidR="003D3BD1" w:rsidRPr="00EB621B" w:rsidRDefault="005C03ED" w:rsidP="003D3BD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Risk f</w:t>
            </w:r>
            <w:r w:rsidR="003D3BD1" w:rsidRPr="00EB621B">
              <w:rPr>
                <w:rFonts w:asciiTheme="majorHAnsi" w:hAnsiTheme="majorHAnsi"/>
              </w:rPr>
              <w:t>actor</w:t>
            </w:r>
          </w:p>
        </w:tc>
        <w:tc>
          <w:tcPr>
            <w:tcW w:w="766" w:type="dxa"/>
          </w:tcPr>
          <w:p w14:paraId="6F1DB326" w14:textId="77777777" w:rsidR="003D3BD1" w:rsidRPr="00EB621B" w:rsidRDefault="003D3BD1" w:rsidP="003D3BD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Score</w:t>
            </w:r>
          </w:p>
        </w:tc>
      </w:tr>
      <w:tr w:rsidR="003D3BD1" w:rsidRPr="00EB621B" w14:paraId="2A0C3A86" w14:textId="77777777" w:rsidTr="003D3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14:paraId="6D666E5F" w14:textId="77777777" w:rsidR="003D3BD1" w:rsidRPr="00EB621B" w:rsidRDefault="003D3BD1" w:rsidP="003D3BD1">
            <w:pPr>
              <w:jc w:val="center"/>
              <w:rPr>
                <w:rFonts w:asciiTheme="majorHAnsi" w:hAnsiTheme="majorHAnsi"/>
              </w:rPr>
            </w:pPr>
            <w:r>
              <w:rPr>
                <w:rFonts w:asciiTheme="majorHAnsi" w:hAnsiTheme="majorHAnsi"/>
              </w:rPr>
              <w:t>C</w:t>
            </w:r>
          </w:p>
        </w:tc>
        <w:tc>
          <w:tcPr>
            <w:tcW w:w="4196" w:type="dxa"/>
          </w:tcPr>
          <w:p w14:paraId="0DA5200F" w14:textId="77777777" w:rsidR="003D3BD1" w:rsidRPr="004C7A20" w:rsidRDefault="003D3BD1" w:rsidP="003D3BD1">
            <w:pPr>
              <w:cnfStyle w:val="000000100000" w:firstRow="0" w:lastRow="0" w:firstColumn="0" w:lastColumn="0" w:oddVBand="0" w:evenVBand="0" w:oddHBand="1" w:evenHBand="0" w:firstRowFirstColumn="0" w:firstRowLastColumn="0" w:lastRowFirstColumn="0" w:lastRowLastColumn="0"/>
              <w:rPr>
                <w:rFonts w:asciiTheme="majorHAnsi" w:hAnsiTheme="majorHAnsi"/>
                <w:vertAlign w:val="superscript"/>
              </w:rPr>
            </w:pPr>
            <w:r w:rsidRPr="00EB621B">
              <w:rPr>
                <w:rFonts w:asciiTheme="majorHAnsi" w:hAnsiTheme="majorHAnsi"/>
              </w:rPr>
              <w:t>Congestive heart failure/LV dysfunction</w:t>
            </w:r>
            <w:r w:rsidR="004C7A20">
              <w:rPr>
                <w:rFonts w:asciiTheme="majorHAnsi" w:hAnsiTheme="majorHAnsi"/>
                <w:vertAlign w:val="superscript"/>
              </w:rPr>
              <w:t>1</w:t>
            </w:r>
          </w:p>
        </w:tc>
        <w:tc>
          <w:tcPr>
            <w:tcW w:w="766" w:type="dxa"/>
          </w:tcPr>
          <w:p w14:paraId="12CBA882" w14:textId="77777777" w:rsidR="003D3BD1" w:rsidRPr="00EB621B" w:rsidRDefault="003D3BD1"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1</w:t>
            </w:r>
          </w:p>
        </w:tc>
      </w:tr>
      <w:tr w:rsidR="003D3BD1" w:rsidRPr="00EB621B" w14:paraId="40DA4B78" w14:textId="77777777" w:rsidTr="003D3BD1">
        <w:trPr>
          <w:jc w:val="center"/>
        </w:trPr>
        <w:tc>
          <w:tcPr>
            <w:cnfStyle w:val="001000000000" w:firstRow="0" w:lastRow="0" w:firstColumn="1" w:lastColumn="0" w:oddVBand="0" w:evenVBand="0" w:oddHBand="0" w:evenHBand="0" w:firstRowFirstColumn="0" w:firstRowLastColumn="0" w:lastRowFirstColumn="0" w:lastRowLastColumn="0"/>
            <w:tcW w:w="552" w:type="dxa"/>
          </w:tcPr>
          <w:p w14:paraId="322E0278" w14:textId="77777777" w:rsidR="003D3BD1" w:rsidRPr="00EB621B" w:rsidRDefault="003D3BD1" w:rsidP="003D3BD1">
            <w:pPr>
              <w:jc w:val="center"/>
              <w:rPr>
                <w:rFonts w:asciiTheme="majorHAnsi" w:hAnsiTheme="majorHAnsi"/>
              </w:rPr>
            </w:pPr>
            <w:r>
              <w:rPr>
                <w:rFonts w:asciiTheme="majorHAnsi" w:hAnsiTheme="majorHAnsi"/>
              </w:rPr>
              <w:t>H</w:t>
            </w:r>
          </w:p>
        </w:tc>
        <w:tc>
          <w:tcPr>
            <w:tcW w:w="4196" w:type="dxa"/>
          </w:tcPr>
          <w:p w14:paraId="2A217CA1" w14:textId="77777777" w:rsidR="003D3BD1" w:rsidRPr="00EB621B" w:rsidRDefault="003D3BD1" w:rsidP="003D3B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Hypertension</w:t>
            </w:r>
          </w:p>
        </w:tc>
        <w:tc>
          <w:tcPr>
            <w:tcW w:w="766" w:type="dxa"/>
          </w:tcPr>
          <w:p w14:paraId="61B6E775" w14:textId="77777777" w:rsidR="003D3BD1" w:rsidRPr="00EB621B" w:rsidRDefault="003D3BD1"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1</w:t>
            </w:r>
          </w:p>
        </w:tc>
      </w:tr>
      <w:tr w:rsidR="003D3BD1" w:rsidRPr="00EB621B" w14:paraId="58F6D351" w14:textId="77777777" w:rsidTr="003D3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14:paraId="118E1DE0" w14:textId="77777777" w:rsidR="003D3BD1" w:rsidRPr="00EB621B" w:rsidRDefault="003D3BD1" w:rsidP="003D3BD1">
            <w:pPr>
              <w:jc w:val="center"/>
              <w:rPr>
                <w:rFonts w:asciiTheme="majorHAnsi" w:hAnsiTheme="majorHAnsi"/>
                <w:vertAlign w:val="subscript"/>
              </w:rPr>
            </w:pPr>
            <w:r>
              <w:rPr>
                <w:rFonts w:asciiTheme="majorHAnsi" w:hAnsiTheme="majorHAnsi"/>
              </w:rPr>
              <w:t>A</w:t>
            </w:r>
            <w:r>
              <w:rPr>
                <w:rFonts w:asciiTheme="majorHAnsi" w:hAnsiTheme="majorHAnsi"/>
                <w:vertAlign w:val="subscript"/>
              </w:rPr>
              <w:t>2</w:t>
            </w:r>
          </w:p>
        </w:tc>
        <w:tc>
          <w:tcPr>
            <w:tcW w:w="4196" w:type="dxa"/>
          </w:tcPr>
          <w:p w14:paraId="141CE7B4" w14:textId="77777777" w:rsidR="003D3BD1" w:rsidRPr="00EB621B" w:rsidRDefault="003D3BD1" w:rsidP="003D3B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Age ≥ 75</w:t>
            </w:r>
          </w:p>
        </w:tc>
        <w:tc>
          <w:tcPr>
            <w:tcW w:w="766" w:type="dxa"/>
          </w:tcPr>
          <w:p w14:paraId="33F1A940" w14:textId="77777777" w:rsidR="003D3BD1" w:rsidRPr="00EB621B" w:rsidRDefault="003D3BD1"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2</w:t>
            </w:r>
          </w:p>
        </w:tc>
      </w:tr>
      <w:tr w:rsidR="003D3BD1" w:rsidRPr="00EB621B" w14:paraId="131D37D3" w14:textId="77777777" w:rsidTr="003D3BD1">
        <w:trPr>
          <w:jc w:val="center"/>
        </w:trPr>
        <w:tc>
          <w:tcPr>
            <w:cnfStyle w:val="001000000000" w:firstRow="0" w:lastRow="0" w:firstColumn="1" w:lastColumn="0" w:oddVBand="0" w:evenVBand="0" w:oddHBand="0" w:evenHBand="0" w:firstRowFirstColumn="0" w:firstRowLastColumn="0" w:lastRowFirstColumn="0" w:lastRowLastColumn="0"/>
            <w:tcW w:w="552" w:type="dxa"/>
          </w:tcPr>
          <w:p w14:paraId="1015A6D1" w14:textId="77777777" w:rsidR="003D3BD1" w:rsidRPr="00EB621B" w:rsidRDefault="003D3BD1" w:rsidP="003D3BD1">
            <w:pPr>
              <w:jc w:val="center"/>
              <w:rPr>
                <w:rFonts w:asciiTheme="majorHAnsi" w:hAnsiTheme="majorHAnsi"/>
              </w:rPr>
            </w:pPr>
            <w:r>
              <w:rPr>
                <w:rFonts w:asciiTheme="majorHAnsi" w:hAnsiTheme="majorHAnsi"/>
              </w:rPr>
              <w:t>D</w:t>
            </w:r>
          </w:p>
        </w:tc>
        <w:tc>
          <w:tcPr>
            <w:tcW w:w="4196" w:type="dxa"/>
          </w:tcPr>
          <w:p w14:paraId="29AD51FB" w14:textId="77777777" w:rsidR="003D3BD1" w:rsidRPr="00EB621B" w:rsidRDefault="003D3BD1" w:rsidP="003D3B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Diabetes mellitus</w:t>
            </w:r>
          </w:p>
        </w:tc>
        <w:tc>
          <w:tcPr>
            <w:tcW w:w="766" w:type="dxa"/>
          </w:tcPr>
          <w:p w14:paraId="792ECA8B" w14:textId="77777777" w:rsidR="003D3BD1" w:rsidRPr="00EB621B" w:rsidRDefault="003D3BD1"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1</w:t>
            </w:r>
          </w:p>
        </w:tc>
      </w:tr>
      <w:tr w:rsidR="003D3BD1" w:rsidRPr="00EB621B" w14:paraId="5E153AC6" w14:textId="77777777" w:rsidTr="003D3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14:paraId="62F360E8" w14:textId="77777777" w:rsidR="003D3BD1" w:rsidRPr="00EB621B" w:rsidRDefault="003D3BD1" w:rsidP="003D3BD1">
            <w:pPr>
              <w:jc w:val="center"/>
              <w:rPr>
                <w:rFonts w:asciiTheme="majorHAnsi" w:hAnsiTheme="majorHAnsi"/>
                <w:vertAlign w:val="subscript"/>
              </w:rPr>
            </w:pPr>
            <w:r>
              <w:rPr>
                <w:rFonts w:asciiTheme="majorHAnsi" w:hAnsiTheme="majorHAnsi"/>
              </w:rPr>
              <w:t>S</w:t>
            </w:r>
            <w:r>
              <w:rPr>
                <w:rFonts w:asciiTheme="majorHAnsi" w:hAnsiTheme="majorHAnsi"/>
                <w:vertAlign w:val="subscript"/>
              </w:rPr>
              <w:t>2</w:t>
            </w:r>
          </w:p>
        </w:tc>
        <w:tc>
          <w:tcPr>
            <w:tcW w:w="4196" w:type="dxa"/>
          </w:tcPr>
          <w:p w14:paraId="2DD99A85" w14:textId="77777777" w:rsidR="003D3BD1" w:rsidRPr="00EB621B" w:rsidRDefault="003D3BD1" w:rsidP="003D3B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Stroke/TIA/Thromboembolism</w:t>
            </w:r>
          </w:p>
        </w:tc>
        <w:tc>
          <w:tcPr>
            <w:tcW w:w="766" w:type="dxa"/>
          </w:tcPr>
          <w:p w14:paraId="1009ABEC" w14:textId="77777777" w:rsidR="003D3BD1" w:rsidRPr="00EB621B" w:rsidRDefault="003D3BD1"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2</w:t>
            </w:r>
          </w:p>
        </w:tc>
      </w:tr>
      <w:tr w:rsidR="003D3BD1" w:rsidRPr="00EB621B" w14:paraId="4E62C38E" w14:textId="77777777" w:rsidTr="003D3BD1">
        <w:trPr>
          <w:jc w:val="center"/>
        </w:trPr>
        <w:tc>
          <w:tcPr>
            <w:cnfStyle w:val="001000000000" w:firstRow="0" w:lastRow="0" w:firstColumn="1" w:lastColumn="0" w:oddVBand="0" w:evenVBand="0" w:oddHBand="0" w:evenHBand="0" w:firstRowFirstColumn="0" w:firstRowLastColumn="0" w:lastRowFirstColumn="0" w:lastRowLastColumn="0"/>
            <w:tcW w:w="552" w:type="dxa"/>
          </w:tcPr>
          <w:p w14:paraId="6F7CA70D" w14:textId="77777777" w:rsidR="003D3BD1" w:rsidRPr="00EB621B" w:rsidRDefault="003D3BD1" w:rsidP="003D3BD1">
            <w:pPr>
              <w:jc w:val="center"/>
              <w:rPr>
                <w:rFonts w:asciiTheme="majorHAnsi" w:hAnsiTheme="majorHAnsi"/>
              </w:rPr>
            </w:pPr>
            <w:r>
              <w:rPr>
                <w:rFonts w:asciiTheme="majorHAnsi" w:hAnsiTheme="majorHAnsi"/>
              </w:rPr>
              <w:t>V</w:t>
            </w:r>
          </w:p>
        </w:tc>
        <w:tc>
          <w:tcPr>
            <w:tcW w:w="4196" w:type="dxa"/>
          </w:tcPr>
          <w:p w14:paraId="1C2197DC" w14:textId="77777777" w:rsidR="003D3BD1" w:rsidRPr="00EB621B" w:rsidRDefault="003D3BD1" w:rsidP="003D3BD1">
            <w:pPr>
              <w:cnfStyle w:val="000000000000" w:firstRow="0" w:lastRow="0" w:firstColumn="0" w:lastColumn="0" w:oddVBand="0" w:evenVBand="0" w:oddHBand="0" w:evenHBand="0" w:firstRowFirstColumn="0" w:firstRowLastColumn="0" w:lastRowFirstColumn="0" w:lastRowLastColumn="0"/>
              <w:rPr>
                <w:rFonts w:asciiTheme="majorHAnsi" w:hAnsiTheme="majorHAnsi"/>
                <w:vertAlign w:val="superscript"/>
              </w:rPr>
            </w:pPr>
            <w:r w:rsidRPr="00EB621B">
              <w:rPr>
                <w:rFonts w:asciiTheme="majorHAnsi" w:hAnsiTheme="majorHAnsi"/>
              </w:rPr>
              <w:t>Vascular disease</w:t>
            </w:r>
            <w:r w:rsidR="004C7A20">
              <w:rPr>
                <w:rFonts w:asciiTheme="majorHAnsi" w:hAnsiTheme="majorHAnsi"/>
                <w:vertAlign w:val="superscript"/>
              </w:rPr>
              <w:t>2</w:t>
            </w:r>
          </w:p>
        </w:tc>
        <w:tc>
          <w:tcPr>
            <w:tcW w:w="766" w:type="dxa"/>
          </w:tcPr>
          <w:p w14:paraId="4FCB8965" w14:textId="77777777" w:rsidR="003D3BD1" w:rsidRPr="00EB621B" w:rsidRDefault="003D3BD1"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1</w:t>
            </w:r>
          </w:p>
        </w:tc>
      </w:tr>
      <w:tr w:rsidR="003D3BD1" w:rsidRPr="00EB621B" w14:paraId="42C8BDC4" w14:textId="77777777" w:rsidTr="003D3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14:paraId="3DF4EC96" w14:textId="77777777" w:rsidR="003D3BD1" w:rsidRPr="00EB621B" w:rsidRDefault="003D3BD1" w:rsidP="003D3BD1">
            <w:pPr>
              <w:jc w:val="center"/>
              <w:rPr>
                <w:rFonts w:asciiTheme="majorHAnsi" w:hAnsiTheme="majorHAnsi"/>
              </w:rPr>
            </w:pPr>
            <w:r>
              <w:rPr>
                <w:rFonts w:asciiTheme="majorHAnsi" w:hAnsiTheme="majorHAnsi"/>
              </w:rPr>
              <w:t>A</w:t>
            </w:r>
          </w:p>
        </w:tc>
        <w:tc>
          <w:tcPr>
            <w:tcW w:w="4196" w:type="dxa"/>
          </w:tcPr>
          <w:p w14:paraId="782513B3" w14:textId="77777777" w:rsidR="003D3BD1" w:rsidRPr="00EB621B" w:rsidRDefault="003D3BD1" w:rsidP="003D3B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Age 65-74</w:t>
            </w:r>
          </w:p>
        </w:tc>
        <w:tc>
          <w:tcPr>
            <w:tcW w:w="766" w:type="dxa"/>
          </w:tcPr>
          <w:p w14:paraId="4171B8BB" w14:textId="77777777" w:rsidR="003D3BD1" w:rsidRPr="00EB621B" w:rsidRDefault="003D3BD1"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1</w:t>
            </w:r>
          </w:p>
        </w:tc>
      </w:tr>
      <w:tr w:rsidR="003D3BD1" w:rsidRPr="00EB621B" w14:paraId="66264EDD" w14:textId="77777777" w:rsidTr="003D3BD1">
        <w:trPr>
          <w:jc w:val="center"/>
        </w:trPr>
        <w:tc>
          <w:tcPr>
            <w:cnfStyle w:val="001000000000" w:firstRow="0" w:lastRow="0" w:firstColumn="1" w:lastColumn="0" w:oddVBand="0" w:evenVBand="0" w:oddHBand="0" w:evenHBand="0" w:firstRowFirstColumn="0" w:firstRowLastColumn="0" w:lastRowFirstColumn="0" w:lastRowLastColumn="0"/>
            <w:tcW w:w="552" w:type="dxa"/>
          </w:tcPr>
          <w:p w14:paraId="2A24EE42" w14:textId="77777777" w:rsidR="003D3BD1" w:rsidRPr="00EB621B" w:rsidRDefault="003D3BD1" w:rsidP="003D3BD1">
            <w:pPr>
              <w:jc w:val="center"/>
              <w:rPr>
                <w:rFonts w:asciiTheme="majorHAnsi" w:hAnsiTheme="majorHAnsi"/>
              </w:rPr>
            </w:pPr>
            <w:proofErr w:type="spellStart"/>
            <w:r>
              <w:rPr>
                <w:rFonts w:asciiTheme="majorHAnsi" w:hAnsiTheme="majorHAnsi"/>
              </w:rPr>
              <w:t>Sc</w:t>
            </w:r>
            <w:proofErr w:type="spellEnd"/>
          </w:p>
        </w:tc>
        <w:tc>
          <w:tcPr>
            <w:tcW w:w="4196" w:type="dxa"/>
          </w:tcPr>
          <w:p w14:paraId="65D51C96" w14:textId="77777777" w:rsidR="003D3BD1" w:rsidRPr="00EB621B" w:rsidRDefault="003D3BD1" w:rsidP="003D3B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Sex category (i.e. Female)</w:t>
            </w:r>
          </w:p>
        </w:tc>
        <w:tc>
          <w:tcPr>
            <w:tcW w:w="766" w:type="dxa"/>
          </w:tcPr>
          <w:p w14:paraId="3BB692B0" w14:textId="77777777" w:rsidR="003D3BD1" w:rsidRPr="00EB621B" w:rsidRDefault="003D3BD1"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1</w:t>
            </w:r>
          </w:p>
        </w:tc>
      </w:tr>
      <w:tr w:rsidR="003D3BD1" w:rsidRPr="00EB621B" w14:paraId="7F17E6EF" w14:textId="77777777" w:rsidTr="003D3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4" w:type="dxa"/>
            <w:gridSpan w:val="3"/>
          </w:tcPr>
          <w:p w14:paraId="66AC67D3" w14:textId="77777777" w:rsidR="003D3BD1" w:rsidRPr="00EB621B" w:rsidRDefault="004C7A20" w:rsidP="004C7A20">
            <w:pPr>
              <w:rPr>
                <w:rFonts w:asciiTheme="majorHAnsi" w:hAnsiTheme="majorHAnsi"/>
                <w:b w:val="0"/>
                <w:sz w:val="20"/>
                <w:szCs w:val="20"/>
              </w:rPr>
            </w:pPr>
            <w:r>
              <w:rPr>
                <w:rFonts w:asciiTheme="majorHAnsi" w:hAnsiTheme="majorHAnsi"/>
                <w:b w:val="0"/>
                <w:sz w:val="20"/>
                <w:szCs w:val="20"/>
                <w:vertAlign w:val="superscript"/>
              </w:rPr>
              <w:t>1</w:t>
            </w:r>
            <w:r w:rsidR="00C35612">
              <w:rPr>
                <w:rFonts w:asciiTheme="majorHAnsi" w:hAnsiTheme="majorHAnsi"/>
                <w:b w:val="0"/>
                <w:sz w:val="20"/>
                <w:szCs w:val="20"/>
              </w:rPr>
              <w:t xml:space="preserve"> </w:t>
            </w:r>
            <w:r>
              <w:rPr>
                <w:rFonts w:asciiTheme="majorHAnsi" w:hAnsiTheme="majorHAnsi"/>
                <w:b w:val="0"/>
                <w:sz w:val="20"/>
                <w:szCs w:val="20"/>
              </w:rPr>
              <w:t>Mod-severe LV impairment or recent admission with decompensated heart failure, irrespective of ejection fraction</w:t>
            </w:r>
          </w:p>
        </w:tc>
      </w:tr>
      <w:tr w:rsidR="004C7A20" w:rsidRPr="00EB621B" w14:paraId="443337C6" w14:textId="77777777" w:rsidTr="003D3BD1">
        <w:trPr>
          <w:jc w:val="center"/>
        </w:trPr>
        <w:tc>
          <w:tcPr>
            <w:cnfStyle w:val="001000000000" w:firstRow="0" w:lastRow="0" w:firstColumn="1" w:lastColumn="0" w:oddVBand="0" w:evenVBand="0" w:oddHBand="0" w:evenHBand="0" w:firstRowFirstColumn="0" w:firstRowLastColumn="0" w:lastRowFirstColumn="0" w:lastRowLastColumn="0"/>
            <w:tcW w:w="5514" w:type="dxa"/>
            <w:gridSpan w:val="3"/>
          </w:tcPr>
          <w:p w14:paraId="5303647F" w14:textId="77777777" w:rsidR="004C7A20" w:rsidRDefault="004C7A20" w:rsidP="003D3BD1">
            <w:pPr>
              <w:rPr>
                <w:rFonts w:asciiTheme="majorHAnsi" w:hAnsiTheme="majorHAnsi"/>
                <w:b w:val="0"/>
                <w:sz w:val="20"/>
                <w:szCs w:val="20"/>
                <w:vertAlign w:val="superscript"/>
              </w:rPr>
            </w:pPr>
            <w:r>
              <w:rPr>
                <w:rFonts w:asciiTheme="majorHAnsi" w:hAnsiTheme="majorHAnsi"/>
                <w:b w:val="0"/>
                <w:sz w:val="20"/>
                <w:szCs w:val="20"/>
                <w:vertAlign w:val="superscript"/>
              </w:rPr>
              <w:t>2</w:t>
            </w:r>
            <w:r>
              <w:rPr>
                <w:rFonts w:asciiTheme="majorHAnsi" w:hAnsiTheme="majorHAnsi"/>
                <w:b w:val="0"/>
                <w:sz w:val="20"/>
                <w:szCs w:val="20"/>
              </w:rPr>
              <w:t xml:space="preserve"> Prior MI, peripheral arterial</w:t>
            </w:r>
            <w:r w:rsidRPr="00EB621B">
              <w:rPr>
                <w:rFonts w:asciiTheme="majorHAnsi" w:hAnsiTheme="majorHAnsi"/>
                <w:b w:val="0"/>
                <w:sz w:val="20"/>
                <w:szCs w:val="20"/>
              </w:rPr>
              <w:t xml:space="preserve"> disease, aortic plaque</w:t>
            </w:r>
          </w:p>
        </w:tc>
      </w:tr>
    </w:tbl>
    <w:p w14:paraId="7BEF8663" w14:textId="77777777" w:rsidR="000556D6" w:rsidRDefault="000556D6" w:rsidP="000556D6">
      <w:pPr>
        <w:pStyle w:val="ListParagraph"/>
        <w:rPr>
          <w:rFonts w:ascii="Calibri" w:hAnsi="Calibri" w:cs="Calibri"/>
        </w:rPr>
      </w:pPr>
    </w:p>
    <w:p w14:paraId="2F036D8A" w14:textId="77777777" w:rsidR="00F642F4" w:rsidRDefault="00F642F4">
      <w:pPr>
        <w:rPr>
          <w:rFonts w:asciiTheme="majorHAnsi" w:hAnsiTheme="majorHAnsi" w:cstheme="majorHAnsi"/>
          <w:b/>
        </w:rPr>
      </w:pPr>
      <w:r>
        <w:rPr>
          <w:rFonts w:asciiTheme="majorHAnsi" w:hAnsiTheme="majorHAnsi" w:cstheme="majorHAnsi"/>
          <w:b/>
        </w:rPr>
        <w:br w:type="page"/>
      </w:r>
    </w:p>
    <w:p w14:paraId="318E1E6D" w14:textId="77777777" w:rsidR="003D3BD1" w:rsidRPr="00D90E86" w:rsidRDefault="003D3BD1" w:rsidP="00D90E86">
      <w:pPr>
        <w:jc w:val="center"/>
        <w:rPr>
          <w:rFonts w:asciiTheme="majorHAnsi" w:hAnsiTheme="majorHAnsi" w:cstheme="majorHAnsi"/>
          <w:b/>
        </w:rPr>
      </w:pPr>
      <w:r w:rsidRPr="00D90E86">
        <w:rPr>
          <w:rFonts w:asciiTheme="majorHAnsi" w:hAnsiTheme="majorHAnsi" w:cstheme="majorHAnsi"/>
          <w:b/>
        </w:rPr>
        <w:lastRenderedPageBreak/>
        <w:t>Table 2</w:t>
      </w:r>
      <w:r w:rsidR="000774B3" w:rsidRPr="00D90E86">
        <w:rPr>
          <w:rFonts w:asciiTheme="majorHAnsi" w:hAnsiTheme="majorHAnsi" w:cstheme="majorHAnsi"/>
          <w:b/>
        </w:rPr>
        <w:t xml:space="preserve"> (</w:t>
      </w:r>
      <w:proofErr w:type="spellStart"/>
      <w:r w:rsidR="000774B3" w:rsidRPr="00D90E86">
        <w:rPr>
          <w:rFonts w:asciiTheme="majorHAnsi" w:hAnsiTheme="majorHAnsi" w:cstheme="majorHAnsi"/>
          <w:b/>
        </w:rPr>
        <w:t>Olesen</w:t>
      </w:r>
      <w:proofErr w:type="spellEnd"/>
      <w:r w:rsidR="000774B3" w:rsidRPr="00D90E86">
        <w:rPr>
          <w:rFonts w:asciiTheme="majorHAnsi" w:hAnsiTheme="majorHAnsi" w:cstheme="majorHAnsi"/>
          <w:b/>
        </w:rPr>
        <w:t xml:space="preserve"> et al. BMJ. 2011; 342: d214)</w:t>
      </w:r>
    </w:p>
    <w:tbl>
      <w:tblPr>
        <w:tblStyle w:val="LightList-Accent1"/>
        <w:tblW w:w="4732" w:type="dxa"/>
        <w:jc w:val="center"/>
        <w:tblInd w:w="1391" w:type="dxa"/>
        <w:tblLook w:val="04A0" w:firstRow="1" w:lastRow="0" w:firstColumn="1" w:lastColumn="0" w:noHBand="0" w:noVBand="1"/>
      </w:tblPr>
      <w:tblGrid>
        <w:gridCol w:w="2293"/>
        <w:gridCol w:w="2439"/>
      </w:tblGrid>
      <w:tr w:rsidR="003D3BD1" w:rsidRPr="00EB621B" w14:paraId="40CEC192" w14:textId="77777777" w:rsidTr="00D90E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34320687" w14:textId="77777777" w:rsidR="003D3BD1" w:rsidRPr="00EB621B" w:rsidRDefault="003D3BD1" w:rsidP="005C03ED">
            <w:pPr>
              <w:jc w:val="center"/>
              <w:rPr>
                <w:rFonts w:asciiTheme="majorHAnsi" w:hAnsiTheme="majorHAnsi"/>
              </w:rPr>
            </w:pPr>
            <w:r>
              <w:rPr>
                <w:rFonts w:asciiTheme="majorHAnsi" w:hAnsiTheme="majorHAnsi"/>
              </w:rPr>
              <w:t>CHA</w:t>
            </w:r>
            <w:r w:rsidRPr="003D3BD1">
              <w:rPr>
                <w:rFonts w:asciiTheme="majorHAnsi" w:hAnsiTheme="majorHAnsi"/>
                <w:vertAlign w:val="subscript"/>
              </w:rPr>
              <w:t>2</w:t>
            </w:r>
            <w:r>
              <w:rPr>
                <w:rFonts w:asciiTheme="majorHAnsi" w:hAnsiTheme="majorHAnsi"/>
              </w:rPr>
              <w:t>DS</w:t>
            </w:r>
            <w:r w:rsidRPr="003D3BD1">
              <w:rPr>
                <w:rFonts w:asciiTheme="majorHAnsi" w:hAnsiTheme="majorHAnsi"/>
                <w:vertAlign w:val="subscript"/>
              </w:rPr>
              <w:t>2</w:t>
            </w:r>
            <w:r w:rsidR="00E814A5" w:rsidRPr="00E814A5">
              <w:rPr>
                <w:rFonts w:asciiTheme="majorHAnsi" w:hAnsiTheme="majorHAnsi"/>
              </w:rPr>
              <w:t>-</w:t>
            </w:r>
            <w:r>
              <w:rPr>
                <w:rFonts w:asciiTheme="majorHAnsi" w:hAnsiTheme="majorHAnsi"/>
              </w:rPr>
              <w:t>VASc Score</w:t>
            </w:r>
          </w:p>
        </w:tc>
        <w:tc>
          <w:tcPr>
            <w:tcW w:w="2439" w:type="dxa"/>
          </w:tcPr>
          <w:p w14:paraId="7E313517" w14:textId="77777777" w:rsidR="003D3BD1" w:rsidRPr="00EB621B" w:rsidRDefault="00D90E86" w:rsidP="008C6E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Annual </w:t>
            </w:r>
            <w:r w:rsidR="005C03ED">
              <w:rPr>
                <w:rFonts w:asciiTheme="majorHAnsi" w:hAnsiTheme="majorHAnsi"/>
              </w:rPr>
              <w:t>r</w:t>
            </w:r>
            <w:r w:rsidR="003D3BD1">
              <w:rPr>
                <w:rFonts w:asciiTheme="majorHAnsi" w:hAnsiTheme="majorHAnsi"/>
              </w:rPr>
              <w:t xml:space="preserve">isk of event </w:t>
            </w:r>
          </w:p>
        </w:tc>
      </w:tr>
      <w:tr w:rsidR="003D3BD1" w:rsidRPr="00EB621B" w14:paraId="0EA6DF18" w14:textId="77777777" w:rsidTr="00D9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56E4CE96" w14:textId="77777777" w:rsidR="003D3BD1" w:rsidRPr="00EB621B" w:rsidRDefault="003D3BD1" w:rsidP="008C6E06">
            <w:pPr>
              <w:jc w:val="center"/>
              <w:rPr>
                <w:rFonts w:asciiTheme="majorHAnsi" w:hAnsiTheme="majorHAnsi"/>
              </w:rPr>
            </w:pPr>
            <w:r>
              <w:rPr>
                <w:rFonts w:asciiTheme="majorHAnsi" w:hAnsiTheme="majorHAnsi"/>
              </w:rPr>
              <w:t>0</w:t>
            </w:r>
          </w:p>
        </w:tc>
        <w:tc>
          <w:tcPr>
            <w:tcW w:w="2439" w:type="dxa"/>
          </w:tcPr>
          <w:p w14:paraId="22D63473" w14:textId="77777777" w:rsidR="003D3BD1" w:rsidRPr="00EB621B" w:rsidRDefault="008C6E06"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w:t>
            </w:r>
            <w:r w:rsidR="00F64B9F">
              <w:rPr>
                <w:rFonts w:asciiTheme="majorHAnsi" w:hAnsiTheme="majorHAnsi"/>
              </w:rPr>
              <w:t>.66</w:t>
            </w:r>
            <w:r>
              <w:rPr>
                <w:rFonts w:asciiTheme="majorHAnsi" w:hAnsiTheme="majorHAnsi"/>
              </w:rPr>
              <w:t>%</w:t>
            </w:r>
          </w:p>
        </w:tc>
      </w:tr>
      <w:tr w:rsidR="003D3BD1" w:rsidRPr="00EB621B" w14:paraId="2826A3E9" w14:textId="77777777" w:rsidTr="00D90E86">
        <w:trPr>
          <w:jc w:val="center"/>
        </w:trPr>
        <w:tc>
          <w:tcPr>
            <w:cnfStyle w:val="001000000000" w:firstRow="0" w:lastRow="0" w:firstColumn="1" w:lastColumn="0" w:oddVBand="0" w:evenVBand="0" w:oddHBand="0" w:evenHBand="0" w:firstRowFirstColumn="0" w:firstRowLastColumn="0" w:lastRowFirstColumn="0" w:lastRowLastColumn="0"/>
            <w:tcW w:w="2293" w:type="dxa"/>
          </w:tcPr>
          <w:p w14:paraId="32C961DA" w14:textId="77777777" w:rsidR="003D3BD1" w:rsidRPr="00EB621B" w:rsidRDefault="003D3BD1" w:rsidP="008C6E06">
            <w:pPr>
              <w:jc w:val="center"/>
              <w:rPr>
                <w:rFonts w:asciiTheme="majorHAnsi" w:hAnsiTheme="majorHAnsi"/>
              </w:rPr>
            </w:pPr>
            <w:r>
              <w:rPr>
                <w:rFonts w:asciiTheme="majorHAnsi" w:hAnsiTheme="majorHAnsi"/>
              </w:rPr>
              <w:t>1</w:t>
            </w:r>
          </w:p>
        </w:tc>
        <w:tc>
          <w:tcPr>
            <w:tcW w:w="2439" w:type="dxa"/>
          </w:tcPr>
          <w:p w14:paraId="72BBC2A2" w14:textId="77777777" w:rsidR="003D3BD1" w:rsidRPr="00EB621B" w:rsidRDefault="00F64B9F"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1.45</w:t>
            </w:r>
            <w:r w:rsidR="008C6E06">
              <w:rPr>
                <w:rFonts w:asciiTheme="majorHAnsi" w:hAnsiTheme="majorHAnsi"/>
              </w:rPr>
              <w:t>%</w:t>
            </w:r>
          </w:p>
        </w:tc>
      </w:tr>
      <w:tr w:rsidR="003D3BD1" w:rsidRPr="00EB621B" w14:paraId="05E2E5EF" w14:textId="77777777" w:rsidTr="00D9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6D6ADA37" w14:textId="77777777" w:rsidR="003D3BD1" w:rsidRPr="00EB621B" w:rsidRDefault="003D3BD1" w:rsidP="008C6E06">
            <w:pPr>
              <w:jc w:val="center"/>
              <w:rPr>
                <w:rFonts w:asciiTheme="majorHAnsi" w:hAnsiTheme="majorHAnsi"/>
              </w:rPr>
            </w:pPr>
            <w:r>
              <w:rPr>
                <w:rFonts w:asciiTheme="majorHAnsi" w:hAnsiTheme="majorHAnsi"/>
              </w:rPr>
              <w:t>2</w:t>
            </w:r>
          </w:p>
        </w:tc>
        <w:tc>
          <w:tcPr>
            <w:tcW w:w="2439" w:type="dxa"/>
          </w:tcPr>
          <w:p w14:paraId="37424F24" w14:textId="77777777" w:rsidR="003D3BD1" w:rsidRPr="00EB621B" w:rsidRDefault="00F64B9F"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2.92</w:t>
            </w:r>
            <w:r w:rsidR="008C6E06">
              <w:rPr>
                <w:rFonts w:asciiTheme="majorHAnsi" w:hAnsiTheme="majorHAnsi"/>
              </w:rPr>
              <w:t>%</w:t>
            </w:r>
          </w:p>
        </w:tc>
      </w:tr>
      <w:tr w:rsidR="003D3BD1" w:rsidRPr="00EB621B" w14:paraId="199A6CD3" w14:textId="77777777" w:rsidTr="00D90E86">
        <w:trPr>
          <w:jc w:val="center"/>
        </w:trPr>
        <w:tc>
          <w:tcPr>
            <w:cnfStyle w:val="001000000000" w:firstRow="0" w:lastRow="0" w:firstColumn="1" w:lastColumn="0" w:oddVBand="0" w:evenVBand="0" w:oddHBand="0" w:evenHBand="0" w:firstRowFirstColumn="0" w:firstRowLastColumn="0" w:lastRowFirstColumn="0" w:lastRowLastColumn="0"/>
            <w:tcW w:w="2293" w:type="dxa"/>
          </w:tcPr>
          <w:p w14:paraId="6C9BAABC" w14:textId="77777777" w:rsidR="003D3BD1" w:rsidRPr="00EB621B" w:rsidRDefault="003D3BD1" w:rsidP="008C6E06">
            <w:pPr>
              <w:jc w:val="center"/>
              <w:rPr>
                <w:rFonts w:asciiTheme="majorHAnsi" w:hAnsiTheme="majorHAnsi"/>
              </w:rPr>
            </w:pPr>
            <w:r>
              <w:rPr>
                <w:rFonts w:asciiTheme="majorHAnsi" w:hAnsiTheme="majorHAnsi"/>
              </w:rPr>
              <w:t>3</w:t>
            </w:r>
          </w:p>
        </w:tc>
        <w:tc>
          <w:tcPr>
            <w:tcW w:w="2439" w:type="dxa"/>
          </w:tcPr>
          <w:p w14:paraId="2AF1CEE2" w14:textId="77777777" w:rsidR="003D3BD1" w:rsidRPr="00EB621B" w:rsidRDefault="00F64B9F"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4.28</w:t>
            </w:r>
            <w:r w:rsidR="008C6E06">
              <w:rPr>
                <w:rFonts w:asciiTheme="majorHAnsi" w:hAnsiTheme="majorHAnsi"/>
              </w:rPr>
              <w:t>%</w:t>
            </w:r>
          </w:p>
        </w:tc>
      </w:tr>
      <w:tr w:rsidR="003D3BD1" w:rsidRPr="00EB621B" w14:paraId="2CF6CFB0" w14:textId="77777777" w:rsidTr="00D9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544DA162" w14:textId="77777777" w:rsidR="003D3BD1" w:rsidRPr="00EB621B" w:rsidRDefault="003D3BD1" w:rsidP="008C6E06">
            <w:pPr>
              <w:jc w:val="center"/>
              <w:rPr>
                <w:rFonts w:asciiTheme="majorHAnsi" w:hAnsiTheme="majorHAnsi"/>
              </w:rPr>
            </w:pPr>
            <w:r>
              <w:rPr>
                <w:rFonts w:asciiTheme="majorHAnsi" w:hAnsiTheme="majorHAnsi"/>
              </w:rPr>
              <w:t>4</w:t>
            </w:r>
          </w:p>
        </w:tc>
        <w:tc>
          <w:tcPr>
            <w:tcW w:w="2439" w:type="dxa"/>
          </w:tcPr>
          <w:p w14:paraId="4135186C" w14:textId="77777777" w:rsidR="003D3BD1" w:rsidRPr="00EB621B" w:rsidRDefault="00F64B9F"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6.46</w:t>
            </w:r>
            <w:r w:rsidR="008C6E06">
              <w:rPr>
                <w:rFonts w:asciiTheme="majorHAnsi" w:hAnsiTheme="majorHAnsi"/>
              </w:rPr>
              <w:t>%</w:t>
            </w:r>
          </w:p>
        </w:tc>
      </w:tr>
      <w:tr w:rsidR="003D3BD1" w:rsidRPr="00EB621B" w14:paraId="079FF084" w14:textId="77777777" w:rsidTr="00D90E86">
        <w:trPr>
          <w:jc w:val="center"/>
        </w:trPr>
        <w:tc>
          <w:tcPr>
            <w:cnfStyle w:val="001000000000" w:firstRow="0" w:lastRow="0" w:firstColumn="1" w:lastColumn="0" w:oddVBand="0" w:evenVBand="0" w:oddHBand="0" w:evenHBand="0" w:firstRowFirstColumn="0" w:firstRowLastColumn="0" w:lastRowFirstColumn="0" w:lastRowLastColumn="0"/>
            <w:tcW w:w="2293" w:type="dxa"/>
          </w:tcPr>
          <w:p w14:paraId="138A4E5C" w14:textId="77777777" w:rsidR="003D3BD1" w:rsidRPr="00EB621B" w:rsidRDefault="003D3BD1" w:rsidP="008C6E06">
            <w:pPr>
              <w:jc w:val="center"/>
              <w:rPr>
                <w:rFonts w:asciiTheme="majorHAnsi" w:hAnsiTheme="majorHAnsi"/>
                <w:vertAlign w:val="superscript"/>
              </w:rPr>
            </w:pPr>
            <w:r>
              <w:rPr>
                <w:rFonts w:asciiTheme="majorHAnsi" w:hAnsiTheme="majorHAnsi"/>
              </w:rPr>
              <w:t>5</w:t>
            </w:r>
          </w:p>
        </w:tc>
        <w:tc>
          <w:tcPr>
            <w:tcW w:w="2439" w:type="dxa"/>
          </w:tcPr>
          <w:p w14:paraId="3BECD479" w14:textId="77777777" w:rsidR="003D3BD1" w:rsidRPr="00EB621B" w:rsidRDefault="00F64B9F"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9.97</w:t>
            </w:r>
            <w:r w:rsidR="008C6E06">
              <w:rPr>
                <w:rFonts w:asciiTheme="majorHAnsi" w:hAnsiTheme="majorHAnsi"/>
              </w:rPr>
              <w:t>%</w:t>
            </w:r>
          </w:p>
        </w:tc>
      </w:tr>
      <w:tr w:rsidR="003D3BD1" w:rsidRPr="00EB621B" w14:paraId="4078B138" w14:textId="77777777" w:rsidTr="00D9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1DDAA12B" w14:textId="77777777" w:rsidR="003D3BD1" w:rsidRPr="00EB621B" w:rsidRDefault="003D3BD1" w:rsidP="008C6E06">
            <w:pPr>
              <w:jc w:val="center"/>
              <w:rPr>
                <w:rFonts w:asciiTheme="majorHAnsi" w:hAnsiTheme="majorHAnsi"/>
              </w:rPr>
            </w:pPr>
            <w:r>
              <w:rPr>
                <w:rFonts w:asciiTheme="majorHAnsi" w:hAnsiTheme="majorHAnsi"/>
              </w:rPr>
              <w:t>6</w:t>
            </w:r>
          </w:p>
        </w:tc>
        <w:tc>
          <w:tcPr>
            <w:tcW w:w="2439" w:type="dxa"/>
          </w:tcPr>
          <w:p w14:paraId="67659E59" w14:textId="77777777" w:rsidR="003D3BD1" w:rsidRPr="00EB621B" w:rsidRDefault="00F64B9F"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12.52</w:t>
            </w:r>
            <w:r w:rsidR="008C6E06">
              <w:rPr>
                <w:rFonts w:asciiTheme="majorHAnsi" w:hAnsiTheme="majorHAnsi"/>
              </w:rPr>
              <w:t>%</w:t>
            </w:r>
          </w:p>
        </w:tc>
      </w:tr>
      <w:tr w:rsidR="003D3BD1" w:rsidRPr="00EB621B" w14:paraId="4ABBA3CF" w14:textId="77777777" w:rsidTr="00D90E86">
        <w:trPr>
          <w:jc w:val="center"/>
        </w:trPr>
        <w:tc>
          <w:tcPr>
            <w:cnfStyle w:val="001000000000" w:firstRow="0" w:lastRow="0" w:firstColumn="1" w:lastColumn="0" w:oddVBand="0" w:evenVBand="0" w:oddHBand="0" w:evenHBand="0" w:firstRowFirstColumn="0" w:firstRowLastColumn="0" w:lastRowFirstColumn="0" w:lastRowLastColumn="0"/>
            <w:tcW w:w="2293" w:type="dxa"/>
          </w:tcPr>
          <w:p w14:paraId="713398F8" w14:textId="77777777" w:rsidR="003D3BD1" w:rsidRPr="00EB621B" w:rsidRDefault="003D3BD1" w:rsidP="008C6E06">
            <w:pPr>
              <w:jc w:val="center"/>
              <w:rPr>
                <w:rFonts w:asciiTheme="majorHAnsi" w:hAnsiTheme="majorHAnsi"/>
              </w:rPr>
            </w:pPr>
            <w:r>
              <w:rPr>
                <w:rFonts w:asciiTheme="majorHAnsi" w:hAnsiTheme="majorHAnsi"/>
              </w:rPr>
              <w:t>7</w:t>
            </w:r>
          </w:p>
        </w:tc>
        <w:tc>
          <w:tcPr>
            <w:tcW w:w="2439" w:type="dxa"/>
          </w:tcPr>
          <w:p w14:paraId="638043F3" w14:textId="77777777" w:rsidR="003D3BD1" w:rsidRPr="00EB621B" w:rsidRDefault="00F64B9F"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13.96</w:t>
            </w:r>
            <w:r w:rsidR="008C6E06">
              <w:rPr>
                <w:rFonts w:asciiTheme="majorHAnsi" w:hAnsiTheme="majorHAnsi"/>
              </w:rPr>
              <w:t>%</w:t>
            </w:r>
          </w:p>
        </w:tc>
      </w:tr>
      <w:tr w:rsidR="003D3BD1" w:rsidRPr="00EB621B" w14:paraId="1D550AB6" w14:textId="77777777" w:rsidTr="00D90E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1B881092" w14:textId="77777777" w:rsidR="003D3BD1" w:rsidRDefault="003D3BD1" w:rsidP="008C6E06">
            <w:pPr>
              <w:jc w:val="center"/>
              <w:rPr>
                <w:rFonts w:asciiTheme="majorHAnsi" w:hAnsiTheme="majorHAnsi"/>
              </w:rPr>
            </w:pPr>
            <w:r>
              <w:rPr>
                <w:rFonts w:asciiTheme="majorHAnsi" w:hAnsiTheme="majorHAnsi"/>
              </w:rPr>
              <w:t>8</w:t>
            </w:r>
          </w:p>
        </w:tc>
        <w:tc>
          <w:tcPr>
            <w:tcW w:w="2439" w:type="dxa"/>
          </w:tcPr>
          <w:p w14:paraId="4DF078BF" w14:textId="77777777" w:rsidR="003D3BD1" w:rsidRPr="00EB621B" w:rsidRDefault="00F64B9F" w:rsidP="003D3B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14.10</w:t>
            </w:r>
            <w:r w:rsidR="008C6E06">
              <w:rPr>
                <w:rFonts w:asciiTheme="majorHAnsi" w:hAnsiTheme="majorHAnsi"/>
              </w:rPr>
              <w:t>%</w:t>
            </w:r>
          </w:p>
        </w:tc>
      </w:tr>
      <w:tr w:rsidR="003D3BD1" w:rsidRPr="00EB621B" w14:paraId="2A2AA018" w14:textId="77777777" w:rsidTr="00D90E86">
        <w:trPr>
          <w:jc w:val="center"/>
        </w:trPr>
        <w:tc>
          <w:tcPr>
            <w:cnfStyle w:val="001000000000" w:firstRow="0" w:lastRow="0" w:firstColumn="1" w:lastColumn="0" w:oddVBand="0" w:evenVBand="0" w:oddHBand="0" w:evenHBand="0" w:firstRowFirstColumn="0" w:firstRowLastColumn="0" w:lastRowFirstColumn="0" w:lastRowLastColumn="0"/>
            <w:tcW w:w="2293" w:type="dxa"/>
          </w:tcPr>
          <w:p w14:paraId="62889AFE" w14:textId="77777777" w:rsidR="003D3BD1" w:rsidRDefault="003D3BD1" w:rsidP="008C6E06">
            <w:pPr>
              <w:jc w:val="center"/>
              <w:rPr>
                <w:rFonts w:asciiTheme="majorHAnsi" w:hAnsiTheme="majorHAnsi"/>
              </w:rPr>
            </w:pPr>
            <w:r>
              <w:rPr>
                <w:rFonts w:asciiTheme="majorHAnsi" w:hAnsiTheme="majorHAnsi"/>
              </w:rPr>
              <w:t>9</w:t>
            </w:r>
          </w:p>
        </w:tc>
        <w:tc>
          <w:tcPr>
            <w:tcW w:w="2439" w:type="dxa"/>
          </w:tcPr>
          <w:p w14:paraId="2DAEE8ED" w14:textId="77777777" w:rsidR="003D3BD1" w:rsidRPr="00EB621B" w:rsidRDefault="00F64B9F" w:rsidP="003D3B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15.89</w:t>
            </w:r>
            <w:r w:rsidR="008C6E06">
              <w:rPr>
                <w:rFonts w:asciiTheme="majorHAnsi" w:hAnsiTheme="majorHAnsi"/>
              </w:rPr>
              <w:t>%</w:t>
            </w:r>
          </w:p>
        </w:tc>
      </w:tr>
    </w:tbl>
    <w:p w14:paraId="404C83F2" w14:textId="77777777" w:rsidR="003D3BD1" w:rsidRPr="008C6E06" w:rsidRDefault="003D3BD1" w:rsidP="008C6E06">
      <w:pPr>
        <w:rPr>
          <w:rFonts w:ascii="Calibri" w:hAnsi="Calibri" w:cs="Calibri"/>
        </w:rPr>
      </w:pPr>
    </w:p>
    <w:p w14:paraId="526EC2D7" w14:textId="77777777" w:rsidR="000556D6" w:rsidRDefault="000556D6" w:rsidP="000556D6">
      <w:pPr>
        <w:numPr>
          <w:ilvl w:val="0"/>
          <w:numId w:val="1"/>
        </w:numPr>
        <w:jc w:val="both"/>
        <w:rPr>
          <w:rFonts w:ascii="Calibri" w:hAnsi="Calibri" w:cs="Calibri"/>
        </w:rPr>
      </w:pPr>
      <w:r>
        <w:rPr>
          <w:rFonts w:ascii="Calibri" w:hAnsi="Calibri" w:cs="Calibri"/>
        </w:rPr>
        <w:t xml:space="preserve">Patients with a </w:t>
      </w:r>
      <w:r w:rsidRPr="007861E4">
        <w:rPr>
          <w:rFonts w:ascii="Calibri" w:hAnsi="Calibri" w:cs="Calibri"/>
        </w:rPr>
        <w:t>CHA</w:t>
      </w:r>
      <w:r w:rsidRPr="007861E4">
        <w:rPr>
          <w:rFonts w:ascii="Calibri" w:hAnsi="Calibri" w:cs="Calibri"/>
          <w:vertAlign w:val="subscript"/>
        </w:rPr>
        <w:t>2</w:t>
      </w:r>
      <w:r w:rsidRPr="007861E4">
        <w:rPr>
          <w:rFonts w:ascii="Calibri" w:hAnsi="Calibri" w:cs="Calibri"/>
        </w:rPr>
        <w:t>DS</w:t>
      </w:r>
      <w:r w:rsidRPr="007861E4">
        <w:rPr>
          <w:rFonts w:ascii="Calibri" w:hAnsi="Calibri" w:cs="Calibri"/>
          <w:vertAlign w:val="subscript"/>
        </w:rPr>
        <w:t>2</w:t>
      </w:r>
      <w:r w:rsidR="00184275">
        <w:rPr>
          <w:rFonts w:ascii="Calibri" w:hAnsi="Calibri" w:cs="Calibri"/>
        </w:rPr>
        <w:t>-V</w:t>
      </w:r>
      <w:r w:rsidRPr="007861E4">
        <w:rPr>
          <w:rFonts w:ascii="Calibri" w:hAnsi="Calibri" w:cs="Calibri"/>
        </w:rPr>
        <w:t>ASc</w:t>
      </w:r>
      <w:r w:rsidR="00E814A5">
        <w:rPr>
          <w:rFonts w:ascii="Calibri" w:hAnsi="Calibri" w:cs="Calibri"/>
        </w:rPr>
        <w:t xml:space="preserve"> score of ≥ 1</w:t>
      </w:r>
      <w:r>
        <w:rPr>
          <w:rFonts w:ascii="Calibri" w:hAnsi="Calibri" w:cs="Calibri"/>
        </w:rPr>
        <w:t xml:space="preserve"> should be considered f</w:t>
      </w:r>
      <w:r w:rsidR="003D3BD1">
        <w:rPr>
          <w:rFonts w:ascii="Calibri" w:hAnsi="Calibri" w:cs="Calibri"/>
        </w:rPr>
        <w:t>or oral anticoagulation (table 3</w:t>
      </w:r>
      <w:r>
        <w:rPr>
          <w:rFonts w:ascii="Calibri" w:hAnsi="Calibri" w:cs="Calibri"/>
        </w:rPr>
        <w:t>). Some patients may not need anything.</w:t>
      </w:r>
      <w:r w:rsidR="0053463B">
        <w:rPr>
          <w:rFonts w:ascii="Calibri" w:hAnsi="Calibri" w:cs="Calibri"/>
        </w:rPr>
        <w:t xml:space="preserve"> Aspirin is </w:t>
      </w:r>
      <w:r w:rsidR="0053463B" w:rsidRPr="00B17EA3">
        <w:rPr>
          <w:rFonts w:ascii="Calibri" w:hAnsi="Calibri" w:cs="Calibri"/>
          <w:b/>
        </w:rPr>
        <w:t>not</w:t>
      </w:r>
      <w:r w:rsidR="0053463B">
        <w:rPr>
          <w:rFonts w:ascii="Calibri" w:hAnsi="Calibri" w:cs="Calibri"/>
        </w:rPr>
        <w:t xml:space="preserve"> recommended to prevent strokes in atrial fibrillation in the latest ESC guidelines, except where OAC cannot be used. </w:t>
      </w:r>
    </w:p>
    <w:p w14:paraId="7E358978" w14:textId="77777777" w:rsidR="000556D6" w:rsidRDefault="000556D6" w:rsidP="000556D6">
      <w:pPr>
        <w:ind w:left="720"/>
        <w:jc w:val="both"/>
        <w:rPr>
          <w:rFonts w:ascii="Calibri" w:hAnsi="Calibri" w:cs="Calibri"/>
        </w:rPr>
      </w:pPr>
    </w:p>
    <w:p w14:paraId="66E7B8DA" w14:textId="77777777" w:rsidR="000556D6" w:rsidRPr="000556D6" w:rsidRDefault="003D3BD1" w:rsidP="00F642F4">
      <w:pPr>
        <w:jc w:val="center"/>
        <w:rPr>
          <w:rFonts w:asciiTheme="majorHAnsi" w:hAnsiTheme="majorHAnsi"/>
          <w:b/>
        </w:rPr>
      </w:pPr>
      <w:r>
        <w:rPr>
          <w:rFonts w:asciiTheme="majorHAnsi" w:hAnsiTheme="majorHAnsi"/>
          <w:b/>
        </w:rPr>
        <w:t>Table 3</w:t>
      </w:r>
    </w:p>
    <w:tbl>
      <w:tblPr>
        <w:tblStyle w:val="LightList-Accent1"/>
        <w:tblW w:w="0" w:type="auto"/>
        <w:jc w:val="center"/>
        <w:tblLook w:val="04A0" w:firstRow="1" w:lastRow="0" w:firstColumn="1" w:lastColumn="0" w:noHBand="0" w:noVBand="1"/>
      </w:tblPr>
      <w:tblGrid>
        <w:gridCol w:w="2349"/>
        <w:gridCol w:w="6151"/>
      </w:tblGrid>
      <w:tr w:rsidR="000556D6" w14:paraId="702493FB" w14:textId="77777777" w:rsidTr="000556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tcPr>
          <w:p w14:paraId="62AB7190" w14:textId="77777777" w:rsidR="000556D6" w:rsidRPr="00EB621B" w:rsidRDefault="000556D6" w:rsidP="005C03ED">
            <w:pPr>
              <w:jc w:val="center"/>
              <w:rPr>
                <w:rFonts w:asciiTheme="majorHAnsi" w:hAnsiTheme="majorHAnsi"/>
              </w:rPr>
            </w:pPr>
            <w:r>
              <w:rPr>
                <w:rFonts w:asciiTheme="majorHAnsi" w:hAnsiTheme="majorHAnsi"/>
              </w:rPr>
              <w:t>CHA</w:t>
            </w:r>
            <w:r>
              <w:rPr>
                <w:rFonts w:asciiTheme="majorHAnsi" w:hAnsiTheme="majorHAnsi"/>
                <w:vertAlign w:val="subscript"/>
              </w:rPr>
              <w:t>2</w:t>
            </w:r>
            <w:r>
              <w:rPr>
                <w:rFonts w:asciiTheme="majorHAnsi" w:hAnsiTheme="majorHAnsi"/>
              </w:rPr>
              <w:t>DS</w:t>
            </w:r>
            <w:r>
              <w:rPr>
                <w:rFonts w:asciiTheme="majorHAnsi" w:hAnsiTheme="majorHAnsi"/>
                <w:vertAlign w:val="subscript"/>
              </w:rPr>
              <w:t>2</w:t>
            </w:r>
            <w:r>
              <w:rPr>
                <w:rFonts w:asciiTheme="majorHAnsi" w:hAnsiTheme="majorHAnsi"/>
              </w:rPr>
              <w:t>-VASc score</w:t>
            </w:r>
          </w:p>
        </w:tc>
        <w:tc>
          <w:tcPr>
            <w:tcW w:w="6151" w:type="dxa"/>
          </w:tcPr>
          <w:p w14:paraId="66309081" w14:textId="77777777" w:rsidR="000556D6" w:rsidRDefault="000556D6" w:rsidP="003D3BD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Recommended therapy</w:t>
            </w:r>
          </w:p>
        </w:tc>
      </w:tr>
      <w:tr w:rsidR="000556D6" w14:paraId="10EB0E72" w14:textId="77777777" w:rsidTr="0005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tcPr>
          <w:p w14:paraId="464DEC55" w14:textId="77777777" w:rsidR="000556D6" w:rsidRDefault="000556D6" w:rsidP="005C03ED">
            <w:pPr>
              <w:jc w:val="center"/>
              <w:rPr>
                <w:rFonts w:asciiTheme="majorHAnsi" w:hAnsiTheme="majorHAnsi"/>
              </w:rPr>
            </w:pPr>
            <w:r>
              <w:rPr>
                <w:rFonts w:ascii="Calibri" w:hAnsi="Calibri"/>
              </w:rPr>
              <w:t>≥</w:t>
            </w:r>
            <w:r>
              <w:rPr>
                <w:rFonts w:asciiTheme="majorHAnsi" w:hAnsiTheme="majorHAnsi"/>
              </w:rPr>
              <w:t>2</w:t>
            </w:r>
          </w:p>
        </w:tc>
        <w:tc>
          <w:tcPr>
            <w:tcW w:w="6151" w:type="dxa"/>
          </w:tcPr>
          <w:p w14:paraId="3670654D" w14:textId="77777777" w:rsidR="000556D6" w:rsidRDefault="000556D6" w:rsidP="003D3B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Oral anticoagulation (OAC)</w:t>
            </w:r>
          </w:p>
        </w:tc>
      </w:tr>
      <w:tr w:rsidR="000556D6" w14:paraId="2220826E" w14:textId="77777777" w:rsidTr="000556D6">
        <w:trPr>
          <w:jc w:val="center"/>
        </w:trPr>
        <w:tc>
          <w:tcPr>
            <w:cnfStyle w:val="001000000000" w:firstRow="0" w:lastRow="0" w:firstColumn="1" w:lastColumn="0" w:oddVBand="0" w:evenVBand="0" w:oddHBand="0" w:evenHBand="0" w:firstRowFirstColumn="0" w:firstRowLastColumn="0" w:lastRowFirstColumn="0" w:lastRowLastColumn="0"/>
            <w:tcW w:w="2349" w:type="dxa"/>
          </w:tcPr>
          <w:p w14:paraId="2495EC3B" w14:textId="77777777" w:rsidR="000556D6" w:rsidRDefault="000556D6" w:rsidP="005C03ED">
            <w:pPr>
              <w:jc w:val="center"/>
              <w:rPr>
                <w:rFonts w:asciiTheme="majorHAnsi" w:hAnsiTheme="majorHAnsi"/>
              </w:rPr>
            </w:pPr>
            <w:r>
              <w:rPr>
                <w:rFonts w:asciiTheme="majorHAnsi" w:hAnsiTheme="majorHAnsi"/>
              </w:rPr>
              <w:t>1</w:t>
            </w:r>
          </w:p>
        </w:tc>
        <w:tc>
          <w:tcPr>
            <w:tcW w:w="6151" w:type="dxa"/>
          </w:tcPr>
          <w:p w14:paraId="26944B7B" w14:textId="77777777" w:rsidR="000556D6" w:rsidRDefault="000556D6" w:rsidP="003D3BD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Either OAC or aspirin 75mg od; </w:t>
            </w:r>
            <w:r w:rsidR="002A68E3">
              <w:rPr>
                <w:rFonts w:asciiTheme="majorHAnsi" w:hAnsiTheme="majorHAnsi"/>
              </w:rPr>
              <w:t xml:space="preserve">strongly </w:t>
            </w:r>
            <w:r>
              <w:rPr>
                <w:rFonts w:asciiTheme="majorHAnsi" w:hAnsiTheme="majorHAnsi"/>
              </w:rPr>
              <w:t>preferred OAC</w:t>
            </w:r>
          </w:p>
        </w:tc>
      </w:tr>
      <w:tr w:rsidR="000556D6" w14:paraId="05DD436F" w14:textId="77777777" w:rsidTr="00055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tcPr>
          <w:p w14:paraId="54387A25" w14:textId="77777777" w:rsidR="000556D6" w:rsidRDefault="000556D6" w:rsidP="005C03ED">
            <w:pPr>
              <w:jc w:val="center"/>
              <w:rPr>
                <w:rFonts w:asciiTheme="majorHAnsi" w:hAnsiTheme="majorHAnsi"/>
              </w:rPr>
            </w:pPr>
            <w:r>
              <w:rPr>
                <w:rFonts w:asciiTheme="majorHAnsi" w:hAnsiTheme="majorHAnsi"/>
              </w:rPr>
              <w:t>0</w:t>
            </w:r>
          </w:p>
        </w:tc>
        <w:tc>
          <w:tcPr>
            <w:tcW w:w="6151" w:type="dxa"/>
          </w:tcPr>
          <w:p w14:paraId="15B2C286" w14:textId="77777777" w:rsidR="000556D6" w:rsidRDefault="000556D6" w:rsidP="003D3BD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Either no therapy or aspirin 75mg od; preferred no therapy </w:t>
            </w:r>
          </w:p>
        </w:tc>
      </w:tr>
    </w:tbl>
    <w:p w14:paraId="1470A802" w14:textId="77777777" w:rsidR="000556D6" w:rsidRDefault="000556D6" w:rsidP="000556D6">
      <w:pPr>
        <w:rPr>
          <w:rFonts w:asciiTheme="majorHAnsi" w:hAnsiTheme="majorHAnsi"/>
        </w:rPr>
      </w:pPr>
    </w:p>
    <w:p w14:paraId="40EA0E6C" w14:textId="77777777" w:rsidR="000556D6" w:rsidRDefault="000556D6" w:rsidP="006A197C">
      <w:pPr>
        <w:numPr>
          <w:ilvl w:val="0"/>
          <w:numId w:val="1"/>
        </w:numPr>
        <w:jc w:val="both"/>
        <w:rPr>
          <w:rFonts w:ascii="Calibri" w:hAnsi="Calibri" w:cs="Calibri"/>
        </w:rPr>
      </w:pPr>
      <w:r w:rsidRPr="007861E4">
        <w:rPr>
          <w:rFonts w:ascii="Calibri" w:hAnsi="Calibri" w:cs="Calibri"/>
        </w:rPr>
        <w:t>If anticoagulation is recommended then there should be consideration as to w</w:t>
      </w:r>
      <w:r w:rsidR="004D413F">
        <w:rPr>
          <w:rFonts w:ascii="Calibri" w:hAnsi="Calibri" w:cs="Calibri"/>
        </w:rPr>
        <w:t>hether there are relevant cautions or contra-indications</w:t>
      </w:r>
      <w:r w:rsidRPr="007861E4">
        <w:rPr>
          <w:rFonts w:ascii="Calibri" w:hAnsi="Calibri" w:cs="Calibri"/>
        </w:rPr>
        <w:t xml:space="preserve">. </w:t>
      </w:r>
      <w:r w:rsidR="00496339">
        <w:rPr>
          <w:rFonts w:ascii="Calibri" w:hAnsi="Calibri" w:cs="Calibri"/>
        </w:rPr>
        <w:t xml:space="preserve">The HAS-BLED score should be calculated </w:t>
      </w:r>
      <w:r w:rsidR="006A197C">
        <w:rPr>
          <w:rFonts w:ascii="Calibri" w:hAnsi="Calibri" w:cs="Calibri"/>
        </w:rPr>
        <w:t xml:space="preserve">(Table 4) </w:t>
      </w:r>
      <w:r w:rsidR="00496339">
        <w:rPr>
          <w:rFonts w:ascii="Calibri" w:hAnsi="Calibri" w:cs="Calibri"/>
        </w:rPr>
        <w:t xml:space="preserve">and if the score is </w:t>
      </w:r>
      <w:r w:rsidR="006A197C">
        <w:rPr>
          <w:rFonts w:ascii="Calibri" w:hAnsi="Calibri" w:cs="Calibri"/>
        </w:rPr>
        <w:t xml:space="preserve">≥ 3 caution should be exercised, but </w:t>
      </w:r>
      <w:r w:rsidR="000F4514">
        <w:rPr>
          <w:rFonts w:ascii="Calibri" w:hAnsi="Calibri" w:cs="Calibri"/>
        </w:rPr>
        <w:t xml:space="preserve">a high HAS-BLED score </w:t>
      </w:r>
      <w:r w:rsidR="006A197C">
        <w:rPr>
          <w:rFonts w:ascii="Calibri" w:hAnsi="Calibri" w:cs="Calibri"/>
        </w:rPr>
        <w:t>alone is not a reason to deny people anticoagulation</w:t>
      </w:r>
      <w:r w:rsidR="00C26A98">
        <w:rPr>
          <w:rFonts w:ascii="Calibri" w:hAnsi="Calibri" w:cs="Calibri"/>
        </w:rPr>
        <w:t>. One estimate of the</w:t>
      </w:r>
      <w:r w:rsidR="00CC361F">
        <w:rPr>
          <w:rFonts w:ascii="Calibri" w:hAnsi="Calibri" w:cs="Calibri"/>
        </w:rPr>
        <w:t xml:space="preserve"> annual risk of bleeding according to the HAS-BLED score can be found in table 5</w:t>
      </w:r>
      <w:r w:rsidR="006A197C">
        <w:rPr>
          <w:rFonts w:ascii="Calibri" w:hAnsi="Calibri" w:cs="Calibri"/>
        </w:rPr>
        <w:t>.</w:t>
      </w:r>
      <w:r w:rsidR="000C23C9">
        <w:rPr>
          <w:rFonts w:ascii="Calibri" w:hAnsi="Calibri" w:cs="Calibri"/>
        </w:rPr>
        <w:t xml:space="preserve"> Please remember that bleeding is not usually fatal and does not usually have long-term consequences, unlike stroke.</w:t>
      </w:r>
      <w:r w:rsidR="006A197C">
        <w:rPr>
          <w:rFonts w:ascii="Calibri" w:hAnsi="Calibri" w:cs="Calibri"/>
        </w:rPr>
        <w:t xml:space="preserve"> </w:t>
      </w:r>
      <w:r w:rsidR="00AD74A7" w:rsidRPr="00AD74A7">
        <w:rPr>
          <w:rFonts w:ascii="Calibri" w:hAnsi="Calibri" w:cs="Calibri"/>
        </w:rPr>
        <w:t xml:space="preserve">It should also be noted that bleeding-risk calculators are not well validated and </w:t>
      </w:r>
      <w:r w:rsidR="000F4514">
        <w:rPr>
          <w:rFonts w:ascii="Calibri" w:hAnsi="Calibri" w:cs="Calibri"/>
        </w:rPr>
        <w:t xml:space="preserve">are </w:t>
      </w:r>
      <w:r w:rsidR="00AD74A7" w:rsidRPr="00AD74A7">
        <w:rPr>
          <w:rFonts w:ascii="Calibri" w:hAnsi="Calibri" w:cs="Calibri"/>
        </w:rPr>
        <w:t>based on relativ</w:t>
      </w:r>
      <w:r w:rsidR="000F4514">
        <w:rPr>
          <w:rFonts w:ascii="Calibri" w:hAnsi="Calibri" w:cs="Calibri"/>
        </w:rPr>
        <w:t>ely small numbers of events, however</w:t>
      </w:r>
      <w:r w:rsidR="00AD74A7" w:rsidRPr="00AD74A7">
        <w:rPr>
          <w:rFonts w:ascii="Calibri" w:hAnsi="Calibri" w:cs="Calibri"/>
        </w:rPr>
        <w:t xml:space="preserve"> the HAS-BLED score appears to be the best there is at present.  Age is not a contra-indication and neither are falls (Garwood and Corbett. Ann </w:t>
      </w:r>
      <w:proofErr w:type="spellStart"/>
      <w:r w:rsidR="00AD74A7" w:rsidRPr="00AD74A7">
        <w:rPr>
          <w:rFonts w:ascii="Calibri" w:hAnsi="Calibri" w:cs="Calibri"/>
        </w:rPr>
        <w:t>Pharmacother</w:t>
      </w:r>
      <w:proofErr w:type="spellEnd"/>
      <w:r w:rsidR="00AD74A7" w:rsidRPr="00AD74A7">
        <w:rPr>
          <w:rFonts w:ascii="Calibri" w:hAnsi="Calibri" w:cs="Calibri"/>
        </w:rPr>
        <w:t xml:space="preserve"> 2008</w:t>
      </w:r>
      <w:proofErr w:type="gramStart"/>
      <w:r w:rsidR="00AD74A7" w:rsidRPr="00AD74A7">
        <w:rPr>
          <w:rFonts w:ascii="Calibri" w:hAnsi="Calibri" w:cs="Calibri"/>
        </w:rPr>
        <w:t>;42:523</w:t>
      </w:r>
      <w:proofErr w:type="gramEnd"/>
      <w:r w:rsidR="00AD74A7" w:rsidRPr="00AD74A7">
        <w:rPr>
          <w:rFonts w:ascii="Calibri" w:hAnsi="Calibri" w:cs="Calibri"/>
        </w:rPr>
        <w:t xml:space="preserve">-32), although the data from this last study are open to criticism, both for the complex statistical modelling and the fact it only considers subdural haematoma; an individualised decision is necessary. This guideline is not </w:t>
      </w:r>
      <w:r w:rsidR="000F4514">
        <w:rPr>
          <w:rFonts w:ascii="Calibri" w:hAnsi="Calibri" w:cs="Calibri"/>
        </w:rPr>
        <w:t>designed to list</w:t>
      </w:r>
      <w:r w:rsidR="00AD74A7" w:rsidRPr="00AD74A7">
        <w:rPr>
          <w:rFonts w:ascii="Calibri" w:hAnsi="Calibri" w:cs="Calibri"/>
        </w:rPr>
        <w:t xml:space="preserve"> all cautions and contra-indications to anticoagulation. Correctable risk factors for bleeding should be addressed before commencing anticoagulation.</w:t>
      </w:r>
    </w:p>
    <w:p w14:paraId="6E3819D3" w14:textId="77777777" w:rsidR="006A197C" w:rsidRDefault="006A197C" w:rsidP="006A197C">
      <w:pPr>
        <w:ind w:left="720"/>
        <w:jc w:val="both"/>
        <w:rPr>
          <w:rFonts w:ascii="Calibri" w:hAnsi="Calibri" w:cs="Calibri"/>
        </w:rPr>
      </w:pPr>
    </w:p>
    <w:p w14:paraId="7943B6A0" w14:textId="77777777" w:rsidR="00F642F4" w:rsidRDefault="001C244F" w:rsidP="001C244F">
      <w:pPr>
        <w:ind w:left="720" w:firstLine="273"/>
        <w:rPr>
          <w:rFonts w:asciiTheme="majorHAnsi" w:hAnsiTheme="majorHAnsi" w:cstheme="majorHAnsi"/>
          <w:b/>
        </w:rPr>
      </w:pPr>
      <w:r>
        <w:rPr>
          <w:rFonts w:asciiTheme="majorHAnsi" w:hAnsiTheme="majorHAnsi" w:cstheme="majorHAnsi"/>
          <w:b/>
        </w:rPr>
        <w:t xml:space="preserve"> </w:t>
      </w:r>
    </w:p>
    <w:p w14:paraId="35C20572" w14:textId="77777777" w:rsidR="006A197C" w:rsidRPr="000556D6" w:rsidRDefault="00F642F4" w:rsidP="00F642F4">
      <w:pPr>
        <w:jc w:val="center"/>
        <w:rPr>
          <w:rFonts w:asciiTheme="majorHAnsi" w:hAnsiTheme="majorHAnsi" w:cstheme="majorHAnsi"/>
          <w:b/>
        </w:rPr>
      </w:pPr>
      <w:r>
        <w:rPr>
          <w:rFonts w:asciiTheme="majorHAnsi" w:hAnsiTheme="majorHAnsi" w:cstheme="majorHAnsi"/>
          <w:b/>
        </w:rPr>
        <w:br w:type="page"/>
      </w:r>
      <w:r w:rsidR="006A197C">
        <w:rPr>
          <w:rFonts w:asciiTheme="majorHAnsi" w:hAnsiTheme="majorHAnsi" w:cstheme="majorHAnsi"/>
          <w:b/>
        </w:rPr>
        <w:lastRenderedPageBreak/>
        <w:t>Table 4</w:t>
      </w:r>
    </w:p>
    <w:tbl>
      <w:tblPr>
        <w:tblStyle w:val="LightList-Accent1"/>
        <w:tblW w:w="6283" w:type="dxa"/>
        <w:jc w:val="center"/>
        <w:tblInd w:w="1391" w:type="dxa"/>
        <w:tblLook w:val="04A0" w:firstRow="1" w:lastRow="0" w:firstColumn="1" w:lastColumn="0" w:noHBand="0" w:noVBand="1"/>
      </w:tblPr>
      <w:tblGrid>
        <w:gridCol w:w="538"/>
        <w:gridCol w:w="4833"/>
        <w:gridCol w:w="912"/>
      </w:tblGrid>
      <w:tr w:rsidR="006A197C" w:rsidRPr="00EB621B" w14:paraId="2D12063C" w14:textId="77777777" w:rsidTr="006A19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6F57C0DA" w14:textId="77777777" w:rsidR="006A197C" w:rsidRPr="00EB621B" w:rsidRDefault="006A197C" w:rsidP="006A197C">
            <w:pPr>
              <w:jc w:val="center"/>
              <w:rPr>
                <w:rFonts w:asciiTheme="majorHAnsi" w:hAnsiTheme="majorHAnsi"/>
              </w:rPr>
            </w:pPr>
          </w:p>
        </w:tc>
        <w:tc>
          <w:tcPr>
            <w:tcW w:w="4833" w:type="dxa"/>
          </w:tcPr>
          <w:p w14:paraId="148E4E41" w14:textId="77777777" w:rsidR="006A197C" w:rsidRPr="00EB621B" w:rsidRDefault="006A197C" w:rsidP="006A197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Characteristic</w:t>
            </w:r>
          </w:p>
        </w:tc>
        <w:tc>
          <w:tcPr>
            <w:tcW w:w="912" w:type="dxa"/>
          </w:tcPr>
          <w:p w14:paraId="325CCC2F" w14:textId="77777777" w:rsidR="006A197C" w:rsidRPr="00EB621B" w:rsidRDefault="006A197C" w:rsidP="006A19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Score</w:t>
            </w:r>
          </w:p>
        </w:tc>
      </w:tr>
      <w:tr w:rsidR="006A197C" w:rsidRPr="00EB621B" w14:paraId="0340EEF1"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2785F980" w14:textId="77777777" w:rsidR="006A197C" w:rsidRPr="00EB621B" w:rsidRDefault="006A197C" w:rsidP="006A197C">
            <w:pPr>
              <w:jc w:val="center"/>
              <w:rPr>
                <w:rFonts w:asciiTheme="majorHAnsi" w:hAnsiTheme="majorHAnsi"/>
              </w:rPr>
            </w:pPr>
            <w:r>
              <w:rPr>
                <w:rFonts w:asciiTheme="majorHAnsi" w:hAnsiTheme="majorHAnsi"/>
              </w:rPr>
              <w:t>H</w:t>
            </w:r>
          </w:p>
        </w:tc>
        <w:tc>
          <w:tcPr>
            <w:tcW w:w="4833" w:type="dxa"/>
          </w:tcPr>
          <w:p w14:paraId="59C164D6" w14:textId="77777777" w:rsidR="006A197C" w:rsidRPr="006A197C" w:rsidRDefault="006A197C" w:rsidP="006A197C">
            <w:pPr>
              <w:cnfStyle w:val="000000100000" w:firstRow="0" w:lastRow="0" w:firstColumn="0" w:lastColumn="0" w:oddVBand="0" w:evenVBand="0" w:oddHBand="1" w:evenHBand="0" w:firstRowFirstColumn="0" w:firstRowLastColumn="0" w:lastRowFirstColumn="0" w:lastRowLastColumn="0"/>
              <w:rPr>
                <w:rFonts w:asciiTheme="majorHAnsi" w:hAnsiTheme="majorHAnsi"/>
                <w:vertAlign w:val="superscript"/>
              </w:rPr>
            </w:pPr>
            <w:r>
              <w:rPr>
                <w:rFonts w:asciiTheme="majorHAnsi" w:hAnsiTheme="majorHAnsi"/>
              </w:rPr>
              <w:t>Hypertension</w:t>
            </w:r>
            <w:r>
              <w:rPr>
                <w:rFonts w:asciiTheme="majorHAnsi" w:hAnsiTheme="majorHAnsi"/>
                <w:vertAlign w:val="superscript"/>
              </w:rPr>
              <w:t>1</w:t>
            </w:r>
          </w:p>
        </w:tc>
        <w:tc>
          <w:tcPr>
            <w:tcW w:w="912" w:type="dxa"/>
          </w:tcPr>
          <w:p w14:paraId="6B464E91" w14:textId="77777777" w:rsidR="006A197C" w:rsidRPr="00EB621B" w:rsidRDefault="006A197C" w:rsidP="006A19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1</w:t>
            </w:r>
          </w:p>
        </w:tc>
      </w:tr>
      <w:tr w:rsidR="006A197C" w:rsidRPr="00EB621B" w14:paraId="6A4E7BCE" w14:textId="77777777" w:rsidTr="006A197C">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6D1B3424" w14:textId="77777777" w:rsidR="006A197C" w:rsidRPr="00EB621B" w:rsidRDefault="006A197C" w:rsidP="006A197C">
            <w:pPr>
              <w:jc w:val="center"/>
              <w:rPr>
                <w:rFonts w:asciiTheme="majorHAnsi" w:hAnsiTheme="majorHAnsi"/>
              </w:rPr>
            </w:pPr>
            <w:r>
              <w:rPr>
                <w:rFonts w:asciiTheme="majorHAnsi" w:hAnsiTheme="majorHAnsi"/>
              </w:rPr>
              <w:t>A</w:t>
            </w:r>
          </w:p>
        </w:tc>
        <w:tc>
          <w:tcPr>
            <w:tcW w:w="4833" w:type="dxa"/>
          </w:tcPr>
          <w:p w14:paraId="47AC49CF" w14:textId="77777777" w:rsidR="006A197C" w:rsidRPr="00EB621B" w:rsidRDefault="006A197C" w:rsidP="006A197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Abnormal renal</w:t>
            </w:r>
            <w:r w:rsidRPr="006A197C">
              <w:rPr>
                <w:rFonts w:asciiTheme="majorHAnsi" w:hAnsiTheme="majorHAnsi"/>
                <w:vertAlign w:val="superscript"/>
              </w:rPr>
              <w:t>2</w:t>
            </w:r>
            <w:r>
              <w:rPr>
                <w:rFonts w:asciiTheme="majorHAnsi" w:hAnsiTheme="majorHAnsi"/>
              </w:rPr>
              <w:t xml:space="preserve"> / liver function</w:t>
            </w:r>
            <w:r w:rsidR="001C244F">
              <w:rPr>
                <w:rFonts w:asciiTheme="majorHAnsi" w:hAnsiTheme="majorHAnsi"/>
                <w:vertAlign w:val="superscript"/>
              </w:rPr>
              <w:t>3</w:t>
            </w:r>
            <w:r>
              <w:rPr>
                <w:rFonts w:asciiTheme="majorHAnsi" w:hAnsiTheme="majorHAnsi"/>
              </w:rPr>
              <w:t xml:space="preserve"> (1 point each)</w:t>
            </w:r>
          </w:p>
        </w:tc>
        <w:tc>
          <w:tcPr>
            <w:tcW w:w="912" w:type="dxa"/>
          </w:tcPr>
          <w:p w14:paraId="37985700" w14:textId="77777777" w:rsidR="006A197C" w:rsidRPr="00EB621B" w:rsidRDefault="006A197C" w:rsidP="006A19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1</w:t>
            </w:r>
            <w:r>
              <w:rPr>
                <w:rFonts w:asciiTheme="majorHAnsi" w:hAnsiTheme="majorHAnsi"/>
              </w:rPr>
              <w:t xml:space="preserve"> or 2</w:t>
            </w:r>
          </w:p>
        </w:tc>
      </w:tr>
      <w:tr w:rsidR="006A197C" w:rsidRPr="00EB621B" w14:paraId="1232708B"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5FF081C0" w14:textId="77777777" w:rsidR="006A197C" w:rsidRPr="00EB621B" w:rsidRDefault="006A197C" w:rsidP="006A197C">
            <w:pPr>
              <w:jc w:val="center"/>
              <w:rPr>
                <w:rFonts w:asciiTheme="majorHAnsi" w:hAnsiTheme="majorHAnsi"/>
                <w:vertAlign w:val="subscript"/>
              </w:rPr>
            </w:pPr>
            <w:r>
              <w:rPr>
                <w:rFonts w:asciiTheme="majorHAnsi" w:hAnsiTheme="majorHAnsi"/>
              </w:rPr>
              <w:t>S</w:t>
            </w:r>
          </w:p>
        </w:tc>
        <w:tc>
          <w:tcPr>
            <w:tcW w:w="4833" w:type="dxa"/>
          </w:tcPr>
          <w:p w14:paraId="28AE7C84" w14:textId="77777777" w:rsidR="006A197C" w:rsidRPr="00EB621B" w:rsidRDefault="006A197C" w:rsidP="006A197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Stroke</w:t>
            </w:r>
          </w:p>
        </w:tc>
        <w:tc>
          <w:tcPr>
            <w:tcW w:w="912" w:type="dxa"/>
          </w:tcPr>
          <w:p w14:paraId="48EB9EA8" w14:textId="77777777" w:rsidR="006A197C" w:rsidRPr="00EB621B" w:rsidRDefault="006A197C" w:rsidP="006A19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w:t>
            </w:r>
          </w:p>
        </w:tc>
      </w:tr>
      <w:tr w:rsidR="006A197C" w:rsidRPr="00EB621B" w14:paraId="7D7622D5" w14:textId="77777777" w:rsidTr="006A197C">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34145259" w14:textId="77777777" w:rsidR="006A197C" w:rsidRPr="00EB621B" w:rsidRDefault="006A197C" w:rsidP="006A197C">
            <w:pPr>
              <w:jc w:val="center"/>
              <w:rPr>
                <w:rFonts w:asciiTheme="majorHAnsi" w:hAnsiTheme="majorHAnsi"/>
              </w:rPr>
            </w:pPr>
            <w:r>
              <w:rPr>
                <w:rFonts w:asciiTheme="majorHAnsi" w:hAnsiTheme="majorHAnsi"/>
              </w:rPr>
              <w:t>B</w:t>
            </w:r>
          </w:p>
        </w:tc>
        <w:tc>
          <w:tcPr>
            <w:tcW w:w="4833" w:type="dxa"/>
          </w:tcPr>
          <w:p w14:paraId="0AA7EF9C" w14:textId="77777777" w:rsidR="006A197C" w:rsidRPr="001C244F" w:rsidRDefault="006A197C" w:rsidP="006A197C">
            <w:pPr>
              <w:cnfStyle w:val="000000000000" w:firstRow="0" w:lastRow="0" w:firstColumn="0" w:lastColumn="0" w:oddVBand="0" w:evenVBand="0" w:oddHBand="0" w:evenHBand="0" w:firstRowFirstColumn="0" w:firstRowLastColumn="0" w:lastRowFirstColumn="0" w:lastRowLastColumn="0"/>
              <w:rPr>
                <w:rFonts w:asciiTheme="majorHAnsi" w:hAnsiTheme="majorHAnsi"/>
                <w:vertAlign w:val="superscript"/>
              </w:rPr>
            </w:pPr>
            <w:r>
              <w:rPr>
                <w:rFonts w:asciiTheme="majorHAnsi" w:hAnsiTheme="majorHAnsi"/>
              </w:rPr>
              <w:t>Bleeding</w:t>
            </w:r>
            <w:r w:rsidR="001C244F">
              <w:rPr>
                <w:rFonts w:asciiTheme="majorHAnsi" w:hAnsiTheme="majorHAnsi"/>
                <w:vertAlign w:val="superscript"/>
              </w:rPr>
              <w:t>4</w:t>
            </w:r>
          </w:p>
        </w:tc>
        <w:tc>
          <w:tcPr>
            <w:tcW w:w="912" w:type="dxa"/>
          </w:tcPr>
          <w:p w14:paraId="679FEDE4" w14:textId="77777777" w:rsidR="006A197C" w:rsidRPr="00EB621B" w:rsidRDefault="006A197C" w:rsidP="006A19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1</w:t>
            </w:r>
          </w:p>
        </w:tc>
      </w:tr>
      <w:tr w:rsidR="006A197C" w:rsidRPr="00EB621B" w14:paraId="5E32CAA7"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382351DF" w14:textId="77777777" w:rsidR="006A197C" w:rsidRPr="00EB621B" w:rsidRDefault="006A197C" w:rsidP="006A197C">
            <w:pPr>
              <w:jc w:val="center"/>
              <w:rPr>
                <w:rFonts w:asciiTheme="majorHAnsi" w:hAnsiTheme="majorHAnsi"/>
                <w:vertAlign w:val="subscript"/>
              </w:rPr>
            </w:pPr>
            <w:r>
              <w:rPr>
                <w:rFonts w:asciiTheme="majorHAnsi" w:hAnsiTheme="majorHAnsi"/>
              </w:rPr>
              <w:t>L</w:t>
            </w:r>
          </w:p>
        </w:tc>
        <w:tc>
          <w:tcPr>
            <w:tcW w:w="4833" w:type="dxa"/>
          </w:tcPr>
          <w:p w14:paraId="3E08A1AB" w14:textId="77777777" w:rsidR="006A197C" w:rsidRPr="001C244F" w:rsidRDefault="006A197C" w:rsidP="006A197C">
            <w:pPr>
              <w:cnfStyle w:val="000000100000" w:firstRow="0" w:lastRow="0" w:firstColumn="0" w:lastColumn="0" w:oddVBand="0" w:evenVBand="0" w:oddHBand="1" w:evenHBand="0" w:firstRowFirstColumn="0" w:firstRowLastColumn="0" w:lastRowFirstColumn="0" w:lastRowLastColumn="0"/>
              <w:rPr>
                <w:rFonts w:asciiTheme="majorHAnsi" w:hAnsiTheme="majorHAnsi"/>
                <w:vertAlign w:val="superscript"/>
              </w:rPr>
            </w:pPr>
            <w:r>
              <w:rPr>
                <w:rFonts w:asciiTheme="majorHAnsi" w:hAnsiTheme="majorHAnsi"/>
              </w:rPr>
              <w:t>Labile INRs</w:t>
            </w:r>
            <w:r w:rsidR="001C244F">
              <w:rPr>
                <w:rFonts w:asciiTheme="majorHAnsi" w:hAnsiTheme="majorHAnsi"/>
                <w:vertAlign w:val="superscript"/>
              </w:rPr>
              <w:t>5</w:t>
            </w:r>
          </w:p>
        </w:tc>
        <w:tc>
          <w:tcPr>
            <w:tcW w:w="912" w:type="dxa"/>
          </w:tcPr>
          <w:p w14:paraId="6C2EE5CD" w14:textId="77777777" w:rsidR="006A197C" w:rsidRPr="00EB621B" w:rsidRDefault="006A197C" w:rsidP="006A19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2</w:t>
            </w:r>
          </w:p>
        </w:tc>
      </w:tr>
      <w:tr w:rsidR="006A197C" w:rsidRPr="00EB621B" w14:paraId="1339B561" w14:textId="77777777" w:rsidTr="006A197C">
        <w:trPr>
          <w:jc w:val="center"/>
        </w:trPr>
        <w:tc>
          <w:tcPr>
            <w:cnfStyle w:val="001000000000" w:firstRow="0" w:lastRow="0" w:firstColumn="1" w:lastColumn="0" w:oddVBand="0" w:evenVBand="0" w:oddHBand="0" w:evenHBand="0" w:firstRowFirstColumn="0" w:firstRowLastColumn="0" w:lastRowFirstColumn="0" w:lastRowLastColumn="0"/>
            <w:tcW w:w="538" w:type="dxa"/>
          </w:tcPr>
          <w:p w14:paraId="5D955922" w14:textId="77777777" w:rsidR="006A197C" w:rsidRPr="00EB621B" w:rsidRDefault="006A197C" w:rsidP="006A197C">
            <w:pPr>
              <w:jc w:val="center"/>
              <w:rPr>
                <w:rFonts w:asciiTheme="majorHAnsi" w:hAnsiTheme="majorHAnsi"/>
              </w:rPr>
            </w:pPr>
            <w:r>
              <w:rPr>
                <w:rFonts w:asciiTheme="majorHAnsi" w:hAnsiTheme="majorHAnsi"/>
              </w:rPr>
              <w:t>E</w:t>
            </w:r>
          </w:p>
        </w:tc>
        <w:tc>
          <w:tcPr>
            <w:tcW w:w="4833" w:type="dxa"/>
          </w:tcPr>
          <w:p w14:paraId="45895FD8" w14:textId="77777777" w:rsidR="006A197C" w:rsidRPr="001C244F" w:rsidRDefault="006A197C" w:rsidP="006A197C">
            <w:pPr>
              <w:cnfStyle w:val="000000000000" w:firstRow="0" w:lastRow="0" w:firstColumn="0" w:lastColumn="0" w:oddVBand="0" w:evenVBand="0" w:oddHBand="0" w:evenHBand="0" w:firstRowFirstColumn="0" w:firstRowLastColumn="0" w:lastRowFirstColumn="0" w:lastRowLastColumn="0"/>
              <w:rPr>
                <w:rFonts w:asciiTheme="majorHAnsi" w:hAnsiTheme="majorHAnsi"/>
                <w:vertAlign w:val="superscript"/>
              </w:rPr>
            </w:pPr>
            <w:r>
              <w:rPr>
                <w:rFonts w:asciiTheme="majorHAnsi" w:hAnsiTheme="majorHAnsi"/>
              </w:rPr>
              <w:t>Elderly</w:t>
            </w:r>
            <w:r w:rsidR="001C244F">
              <w:rPr>
                <w:rFonts w:asciiTheme="majorHAnsi" w:hAnsiTheme="majorHAnsi"/>
                <w:vertAlign w:val="superscript"/>
              </w:rPr>
              <w:t>6</w:t>
            </w:r>
          </w:p>
        </w:tc>
        <w:tc>
          <w:tcPr>
            <w:tcW w:w="912" w:type="dxa"/>
          </w:tcPr>
          <w:p w14:paraId="422EA9ED" w14:textId="77777777" w:rsidR="006A197C" w:rsidRPr="00EB621B" w:rsidRDefault="006A197C" w:rsidP="006A19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B621B">
              <w:rPr>
                <w:rFonts w:asciiTheme="majorHAnsi" w:hAnsiTheme="majorHAnsi"/>
              </w:rPr>
              <w:t>1</w:t>
            </w:r>
          </w:p>
        </w:tc>
      </w:tr>
      <w:tr w:rsidR="006A197C" w:rsidRPr="00EB621B" w14:paraId="3632BED9"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Pr>
          <w:p w14:paraId="27EFFA45" w14:textId="77777777" w:rsidR="006A197C" w:rsidRPr="00EB621B" w:rsidRDefault="006A197C" w:rsidP="006A197C">
            <w:pPr>
              <w:jc w:val="center"/>
              <w:rPr>
                <w:rFonts w:asciiTheme="majorHAnsi" w:hAnsiTheme="majorHAnsi"/>
              </w:rPr>
            </w:pPr>
            <w:r>
              <w:rPr>
                <w:rFonts w:asciiTheme="majorHAnsi" w:hAnsiTheme="majorHAnsi"/>
              </w:rPr>
              <w:t>D</w:t>
            </w:r>
          </w:p>
        </w:tc>
        <w:tc>
          <w:tcPr>
            <w:tcW w:w="4833" w:type="dxa"/>
          </w:tcPr>
          <w:p w14:paraId="3C60ED1A" w14:textId="77777777" w:rsidR="006A197C" w:rsidRPr="00EB621B" w:rsidRDefault="006A197C" w:rsidP="006A197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Drugs</w:t>
            </w:r>
            <w:r w:rsidR="001C244F">
              <w:rPr>
                <w:rFonts w:asciiTheme="majorHAnsi" w:hAnsiTheme="majorHAnsi"/>
                <w:vertAlign w:val="superscript"/>
              </w:rPr>
              <w:t>7</w:t>
            </w:r>
            <w:r>
              <w:rPr>
                <w:rFonts w:asciiTheme="majorHAnsi" w:hAnsiTheme="majorHAnsi"/>
              </w:rPr>
              <w:t xml:space="preserve"> or alcohol</w:t>
            </w:r>
            <w:r w:rsidR="001C244F">
              <w:rPr>
                <w:rFonts w:asciiTheme="majorHAnsi" w:hAnsiTheme="majorHAnsi"/>
                <w:vertAlign w:val="superscript"/>
              </w:rPr>
              <w:t>8</w:t>
            </w:r>
            <w:r>
              <w:rPr>
                <w:rFonts w:asciiTheme="majorHAnsi" w:hAnsiTheme="majorHAnsi"/>
              </w:rPr>
              <w:t xml:space="preserve"> (1 point each)</w:t>
            </w:r>
          </w:p>
        </w:tc>
        <w:tc>
          <w:tcPr>
            <w:tcW w:w="912" w:type="dxa"/>
          </w:tcPr>
          <w:p w14:paraId="6D74D596" w14:textId="77777777" w:rsidR="006A197C" w:rsidRPr="00EB621B" w:rsidRDefault="006A197C" w:rsidP="006A19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B621B">
              <w:rPr>
                <w:rFonts w:asciiTheme="majorHAnsi" w:hAnsiTheme="majorHAnsi"/>
              </w:rPr>
              <w:t>1</w:t>
            </w:r>
            <w:r>
              <w:rPr>
                <w:rFonts w:asciiTheme="majorHAnsi" w:hAnsiTheme="majorHAnsi"/>
              </w:rPr>
              <w:t xml:space="preserve"> or 2</w:t>
            </w:r>
          </w:p>
        </w:tc>
      </w:tr>
      <w:tr w:rsidR="006A197C" w:rsidRPr="00EB621B" w14:paraId="7BE3F577" w14:textId="77777777" w:rsidTr="006A197C">
        <w:trPr>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53D05F46" w14:textId="77777777" w:rsidR="006A197C" w:rsidRPr="00EB621B" w:rsidRDefault="006A197C" w:rsidP="006A197C">
            <w:pPr>
              <w:rPr>
                <w:rFonts w:asciiTheme="majorHAnsi" w:hAnsiTheme="majorHAnsi"/>
                <w:b w:val="0"/>
                <w:sz w:val="20"/>
                <w:szCs w:val="20"/>
              </w:rPr>
            </w:pPr>
            <w:r w:rsidRPr="00EB621B">
              <w:rPr>
                <w:rFonts w:asciiTheme="majorHAnsi" w:hAnsiTheme="majorHAnsi"/>
                <w:b w:val="0"/>
                <w:sz w:val="20"/>
                <w:szCs w:val="20"/>
                <w:vertAlign w:val="superscript"/>
              </w:rPr>
              <w:t>1</w:t>
            </w:r>
            <w:r w:rsidRPr="00EB621B">
              <w:rPr>
                <w:rFonts w:asciiTheme="majorHAnsi" w:hAnsiTheme="majorHAnsi"/>
                <w:b w:val="0"/>
                <w:sz w:val="20"/>
                <w:szCs w:val="20"/>
              </w:rPr>
              <w:t xml:space="preserve"> </w:t>
            </w:r>
            <w:r>
              <w:rPr>
                <w:rFonts w:asciiTheme="majorHAnsi" w:hAnsiTheme="majorHAnsi"/>
                <w:b w:val="0"/>
                <w:sz w:val="20"/>
                <w:szCs w:val="20"/>
              </w:rPr>
              <w:t>Systolic BP &gt; 160mmHg</w:t>
            </w:r>
          </w:p>
        </w:tc>
      </w:tr>
      <w:tr w:rsidR="006A197C" w:rsidRPr="00EB621B" w14:paraId="6433046F"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734CCBCA" w14:textId="77777777" w:rsidR="006A197C" w:rsidRPr="006A197C" w:rsidRDefault="006A197C" w:rsidP="006A197C">
            <w:pPr>
              <w:rPr>
                <w:rFonts w:asciiTheme="majorHAnsi" w:hAnsiTheme="majorHAnsi"/>
                <w:b w:val="0"/>
                <w:sz w:val="20"/>
                <w:szCs w:val="20"/>
              </w:rPr>
            </w:pPr>
            <w:r w:rsidRPr="001C244F">
              <w:rPr>
                <w:rFonts w:asciiTheme="majorHAnsi" w:hAnsiTheme="majorHAnsi"/>
                <w:b w:val="0"/>
                <w:sz w:val="20"/>
                <w:szCs w:val="20"/>
                <w:vertAlign w:val="superscript"/>
              </w:rPr>
              <w:t>2</w:t>
            </w:r>
            <w:r w:rsidR="001C244F" w:rsidRPr="001C244F">
              <w:rPr>
                <w:rFonts w:asciiTheme="majorHAnsi" w:hAnsiTheme="majorHAnsi"/>
                <w:b w:val="0"/>
                <w:sz w:val="20"/>
                <w:szCs w:val="20"/>
              </w:rPr>
              <w:t xml:space="preserve"> </w:t>
            </w:r>
            <w:r w:rsidRPr="001C244F">
              <w:rPr>
                <w:rFonts w:asciiTheme="majorHAnsi" w:hAnsiTheme="majorHAnsi"/>
                <w:b w:val="0"/>
                <w:sz w:val="20"/>
                <w:szCs w:val="20"/>
              </w:rPr>
              <w:t>Chronic</w:t>
            </w:r>
            <w:r>
              <w:rPr>
                <w:rFonts w:asciiTheme="majorHAnsi" w:hAnsiTheme="majorHAnsi"/>
                <w:b w:val="0"/>
                <w:sz w:val="20"/>
                <w:szCs w:val="20"/>
              </w:rPr>
              <w:t xml:space="preserve"> dialysis, transplantation, Cr </w:t>
            </w:r>
            <w:r w:rsidR="001C244F">
              <w:rPr>
                <w:rFonts w:ascii="Calibri" w:hAnsi="Calibri"/>
                <w:b w:val="0"/>
                <w:sz w:val="20"/>
                <w:szCs w:val="20"/>
              </w:rPr>
              <w:t>≥</w:t>
            </w:r>
            <w:r w:rsidR="001C244F">
              <w:rPr>
                <w:rFonts w:asciiTheme="majorHAnsi" w:hAnsiTheme="majorHAnsi"/>
                <w:b w:val="0"/>
                <w:sz w:val="20"/>
                <w:szCs w:val="20"/>
              </w:rPr>
              <w:t xml:space="preserve"> 200 </w:t>
            </w:r>
            <w:proofErr w:type="spellStart"/>
            <w:r w:rsidR="001C244F">
              <w:rPr>
                <w:rFonts w:ascii="Calibri" w:hAnsi="Calibri"/>
                <w:b w:val="0"/>
                <w:sz w:val="20"/>
                <w:szCs w:val="20"/>
              </w:rPr>
              <w:t>μ</w:t>
            </w:r>
            <w:r w:rsidR="001C244F">
              <w:rPr>
                <w:rFonts w:asciiTheme="majorHAnsi" w:hAnsiTheme="majorHAnsi"/>
                <w:b w:val="0"/>
                <w:sz w:val="20"/>
                <w:szCs w:val="20"/>
              </w:rPr>
              <w:t>mol</w:t>
            </w:r>
            <w:proofErr w:type="spellEnd"/>
            <w:r w:rsidR="001C244F">
              <w:rPr>
                <w:rFonts w:asciiTheme="majorHAnsi" w:hAnsiTheme="majorHAnsi"/>
                <w:b w:val="0"/>
                <w:sz w:val="20"/>
                <w:szCs w:val="20"/>
              </w:rPr>
              <w:t>/l</w:t>
            </w:r>
          </w:p>
        </w:tc>
      </w:tr>
      <w:tr w:rsidR="006A197C" w:rsidRPr="00EB621B" w14:paraId="29A5F0BD" w14:textId="77777777" w:rsidTr="006A197C">
        <w:trPr>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143E0080" w14:textId="77777777" w:rsidR="006A197C" w:rsidRPr="001C244F" w:rsidRDefault="001C244F" w:rsidP="006A197C">
            <w:pPr>
              <w:rPr>
                <w:rFonts w:asciiTheme="majorHAnsi" w:hAnsiTheme="majorHAnsi"/>
                <w:b w:val="0"/>
                <w:sz w:val="20"/>
                <w:szCs w:val="20"/>
              </w:rPr>
            </w:pPr>
            <w:r w:rsidRPr="001C244F">
              <w:rPr>
                <w:rFonts w:asciiTheme="majorHAnsi" w:hAnsiTheme="majorHAnsi"/>
                <w:b w:val="0"/>
                <w:sz w:val="20"/>
                <w:szCs w:val="20"/>
                <w:vertAlign w:val="superscript"/>
              </w:rPr>
              <w:t>3</w:t>
            </w:r>
            <w:r>
              <w:rPr>
                <w:rFonts w:asciiTheme="majorHAnsi" w:hAnsiTheme="majorHAnsi"/>
                <w:b w:val="0"/>
                <w:sz w:val="20"/>
                <w:szCs w:val="20"/>
              </w:rPr>
              <w:t xml:space="preserve"> Bilirubin &gt; 2x ULN + AST/ALT 3xULN</w:t>
            </w:r>
          </w:p>
        </w:tc>
      </w:tr>
      <w:tr w:rsidR="006A197C" w:rsidRPr="00EB621B" w14:paraId="589E089F"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5E114C03" w14:textId="77777777" w:rsidR="006A197C" w:rsidRPr="001C244F" w:rsidRDefault="001C244F" w:rsidP="006A197C">
            <w:pPr>
              <w:rPr>
                <w:rFonts w:asciiTheme="majorHAnsi" w:hAnsiTheme="majorHAnsi"/>
                <w:b w:val="0"/>
                <w:sz w:val="20"/>
                <w:szCs w:val="20"/>
              </w:rPr>
            </w:pPr>
            <w:r>
              <w:rPr>
                <w:rFonts w:asciiTheme="majorHAnsi" w:hAnsiTheme="majorHAnsi"/>
                <w:b w:val="0"/>
                <w:sz w:val="20"/>
                <w:szCs w:val="20"/>
                <w:vertAlign w:val="superscript"/>
              </w:rPr>
              <w:t>4</w:t>
            </w:r>
            <w:r>
              <w:rPr>
                <w:rFonts w:asciiTheme="majorHAnsi" w:hAnsiTheme="majorHAnsi"/>
                <w:b w:val="0"/>
                <w:sz w:val="20"/>
                <w:szCs w:val="20"/>
              </w:rPr>
              <w:t xml:space="preserve"> Previous bleeding history and/or predisposition to bleeding</w:t>
            </w:r>
          </w:p>
        </w:tc>
      </w:tr>
      <w:tr w:rsidR="001C244F" w:rsidRPr="00EB621B" w14:paraId="24B31D7E" w14:textId="77777777" w:rsidTr="006A197C">
        <w:trPr>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41BDAD6E" w14:textId="77777777" w:rsidR="001C244F" w:rsidRPr="001C244F" w:rsidRDefault="001C244F" w:rsidP="006A197C">
            <w:pPr>
              <w:rPr>
                <w:rFonts w:asciiTheme="majorHAnsi" w:hAnsiTheme="majorHAnsi"/>
                <w:b w:val="0"/>
                <w:sz w:val="20"/>
                <w:szCs w:val="20"/>
              </w:rPr>
            </w:pPr>
            <w:r>
              <w:rPr>
                <w:rFonts w:asciiTheme="majorHAnsi" w:hAnsiTheme="majorHAnsi"/>
                <w:b w:val="0"/>
                <w:sz w:val="20"/>
                <w:szCs w:val="20"/>
                <w:vertAlign w:val="superscript"/>
              </w:rPr>
              <w:t>5</w:t>
            </w:r>
            <w:r>
              <w:rPr>
                <w:rFonts w:asciiTheme="majorHAnsi" w:hAnsiTheme="majorHAnsi"/>
                <w:b w:val="0"/>
                <w:sz w:val="20"/>
                <w:szCs w:val="20"/>
              </w:rPr>
              <w:t xml:space="preserve"> TTR &lt; 60%</w:t>
            </w:r>
          </w:p>
        </w:tc>
      </w:tr>
      <w:tr w:rsidR="001C244F" w:rsidRPr="00EB621B" w14:paraId="5A7B1816"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067F3E06" w14:textId="77777777" w:rsidR="001C244F" w:rsidRPr="001C244F" w:rsidRDefault="001C244F" w:rsidP="006A197C">
            <w:pPr>
              <w:rPr>
                <w:rFonts w:asciiTheme="majorHAnsi" w:hAnsiTheme="majorHAnsi"/>
                <w:b w:val="0"/>
                <w:sz w:val="20"/>
                <w:szCs w:val="20"/>
              </w:rPr>
            </w:pPr>
            <w:r>
              <w:rPr>
                <w:rFonts w:asciiTheme="majorHAnsi" w:hAnsiTheme="majorHAnsi"/>
                <w:b w:val="0"/>
                <w:sz w:val="20"/>
                <w:szCs w:val="20"/>
                <w:vertAlign w:val="superscript"/>
              </w:rPr>
              <w:t>6</w:t>
            </w:r>
            <w:r>
              <w:rPr>
                <w:rFonts w:asciiTheme="majorHAnsi" w:hAnsiTheme="majorHAnsi"/>
                <w:b w:val="0"/>
                <w:sz w:val="20"/>
                <w:szCs w:val="20"/>
              </w:rPr>
              <w:t xml:space="preserve"> Age &gt; 65 years</w:t>
            </w:r>
          </w:p>
        </w:tc>
      </w:tr>
      <w:tr w:rsidR="001C244F" w:rsidRPr="00EB621B" w14:paraId="2B6FA8D3" w14:textId="77777777" w:rsidTr="006A197C">
        <w:trPr>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3F57EEC4" w14:textId="77777777" w:rsidR="001C244F" w:rsidRPr="001C244F" w:rsidRDefault="001C244F" w:rsidP="001C244F">
            <w:pPr>
              <w:rPr>
                <w:rFonts w:asciiTheme="majorHAnsi" w:hAnsiTheme="majorHAnsi"/>
                <w:b w:val="0"/>
                <w:sz w:val="20"/>
                <w:szCs w:val="20"/>
              </w:rPr>
            </w:pPr>
            <w:r>
              <w:rPr>
                <w:rFonts w:asciiTheme="majorHAnsi" w:hAnsiTheme="majorHAnsi"/>
                <w:b w:val="0"/>
                <w:sz w:val="20"/>
                <w:szCs w:val="20"/>
                <w:vertAlign w:val="superscript"/>
              </w:rPr>
              <w:t>7</w:t>
            </w:r>
            <w:r>
              <w:rPr>
                <w:rFonts w:asciiTheme="majorHAnsi" w:hAnsiTheme="majorHAnsi"/>
                <w:b w:val="0"/>
                <w:sz w:val="20"/>
                <w:szCs w:val="20"/>
              </w:rPr>
              <w:t xml:space="preserve"> Concomitant use of drugs such as aspirin, NSAIDS</w:t>
            </w:r>
          </w:p>
        </w:tc>
      </w:tr>
      <w:tr w:rsidR="001C244F" w:rsidRPr="00EB621B" w14:paraId="7420C695" w14:textId="77777777" w:rsidTr="006A1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83" w:type="dxa"/>
            <w:gridSpan w:val="3"/>
          </w:tcPr>
          <w:p w14:paraId="75AC7566" w14:textId="77777777" w:rsidR="001C244F" w:rsidRPr="001C244F" w:rsidRDefault="001C244F" w:rsidP="006A197C">
            <w:pPr>
              <w:rPr>
                <w:rFonts w:asciiTheme="majorHAnsi" w:hAnsiTheme="majorHAnsi"/>
                <w:b w:val="0"/>
                <w:sz w:val="20"/>
                <w:szCs w:val="20"/>
              </w:rPr>
            </w:pPr>
            <w:r>
              <w:rPr>
                <w:rFonts w:asciiTheme="majorHAnsi" w:hAnsiTheme="majorHAnsi"/>
                <w:b w:val="0"/>
                <w:sz w:val="20"/>
                <w:szCs w:val="20"/>
                <w:vertAlign w:val="superscript"/>
              </w:rPr>
              <w:t>8</w:t>
            </w:r>
            <w:r w:rsidR="00380D7B">
              <w:rPr>
                <w:rFonts w:asciiTheme="majorHAnsi" w:hAnsiTheme="majorHAnsi"/>
                <w:b w:val="0"/>
                <w:sz w:val="20"/>
                <w:szCs w:val="20"/>
              </w:rPr>
              <w:t xml:space="preserve"> Alcohol consumption &gt; 8u / week</w:t>
            </w:r>
          </w:p>
        </w:tc>
      </w:tr>
    </w:tbl>
    <w:p w14:paraId="286F3E23" w14:textId="77777777" w:rsidR="00F642F4" w:rsidRDefault="00F642F4" w:rsidP="00F642F4">
      <w:pPr>
        <w:rPr>
          <w:rFonts w:ascii="Calibri" w:hAnsi="Calibri" w:cs="Calibri"/>
        </w:rPr>
      </w:pPr>
    </w:p>
    <w:p w14:paraId="4EAF8FDE" w14:textId="77777777" w:rsidR="00CC361F" w:rsidRPr="000556D6" w:rsidRDefault="00CC361F" w:rsidP="00F642F4">
      <w:pPr>
        <w:jc w:val="center"/>
        <w:rPr>
          <w:rFonts w:asciiTheme="majorHAnsi" w:hAnsiTheme="majorHAnsi" w:cstheme="majorHAnsi"/>
          <w:b/>
        </w:rPr>
      </w:pPr>
      <w:r>
        <w:rPr>
          <w:rFonts w:asciiTheme="majorHAnsi" w:hAnsiTheme="majorHAnsi" w:cstheme="majorHAnsi"/>
          <w:b/>
        </w:rPr>
        <w:t>Table 5</w:t>
      </w:r>
    </w:p>
    <w:tbl>
      <w:tblPr>
        <w:tblStyle w:val="LightList-Accent1"/>
        <w:tblW w:w="4183" w:type="dxa"/>
        <w:jc w:val="center"/>
        <w:tblInd w:w="1391" w:type="dxa"/>
        <w:tblLook w:val="04A0" w:firstRow="1" w:lastRow="0" w:firstColumn="1" w:lastColumn="0" w:noHBand="0" w:noVBand="1"/>
      </w:tblPr>
      <w:tblGrid>
        <w:gridCol w:w="1927"/>
        <w:gridCol w:w="2256"/>
      </w:tblGrid>
      <w:tr w:rsidR="00CC361F" w:rsidRPr="00EB621B" w14:paraId="6416DCA1" w14:textId="77777777" w:rsidTr="00CC36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Pr>
          <w:p w14:paraId="402F189B" w14:textId="77777777" w:rsidR="00CC361F" w:rsidRPr="00EB621B" w:rsidRDefault="00CC361F" w:rsidP="00F642F4">
            <w:pPr>
              <w:rPr>
                <w:rFonts w:asciiTheme="majorHAnsi" w:hAnsiTheme="majorHAnsi"/>
              </w:rPr>
            </w:pPr>
            <w:r>
              <w:rPr>
                <w:rFonts w:asciiTheme="majorHAnsi" w:hAnsiTheme="majorHAnsi"/>
              </w:rPr>
              <w:t>HAS-BLED Score</w:t>
            </w:r>
          </w:p>
        </w:tc>
        <w:tc>
          <w:tcPr>
            <w:tcW w:w="2256" w:type="dxa"/>
          </w:tcPr>
          <w:p w14:paraId="69CFCDCB" w14:textId="77777777" w:rsidR="00CC361F" w:rsidRPr="00EB621B" w:rsidRDefault="00CC361F" w:rsidP="00F642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Risk of major bleed</w:t>
            </w:r>
          </w:p>
        </w:tc>
      </w:tr>
      <w:tr w:rsidR="00CC361F" w:rsidRPr="00EB621B" w14:paraId="57AFC5D7" w14:textId="77777777" w:rsidTr="00CC36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Pr>
          <w:p w14:paraId="5C1AFE4E" w14:textId="77777777" w:rsidR="00CC361F" w:rsidRPr="00EB621B" w:rsidRDefault="00CC361F" w:rsidP="00F642F4">
            <w:pPr>
              <w:jc w:val="center"/>
              <w:rPr>
                <w:rFonts w:asciiTheme="majorHAnsi" w:hAnsiTheme="majorHAnsi"/>
              </w:rPr>
            </w:pPr>
            <w:r>
              <w:rPr>
                <w:rFonts w:asciiTheme="majorHAnsi" w:hAnsiTheme="majorHAnsi"/>
              </w:rPr>
              <w:t>0</w:t>
            </w:r>
          </w:p>
        </w:tc>
        <w:tc>
          <w:tcPr>
            <w:tcW w:w="2256" w:type="dxa"/>
          </w:tcPr>
          <w:p w14:paraId="129ACCCE" w14:textId="77777777" w:rsidR="00CC361F" w:rsidRPr="00EB621B" w:rsidRDefault="0018168C" w:rsidP="00F642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1.13</w:t>
            </w:r>
            <w:r w:rsidR="00CC361F">
              <w:rPr>
                <w:rFonts w:asciiTheme="majorHAnsi" w:hAnsiTheme="majorHAnsi"/>
              </w:rPr>
              <w:t>%</w:t>
            </w:r>
          </w:p>
        </w:tc>
      </w:tr>
      <w:tr w:rsidR="00CC361F" w:rsidRPr="00EB621B" w14:paraId="445482D5" w14:textId="77777777" w:rsidTr="00CC361F">
        <w:trPr>
          <w:jc w:val="center"/>
        </w:trPr>
        <w:tc>
          <w:tcPr>
            <w:cnfStyle w:val="001000000000" w:firstRow="0" w:lastRow="0" w:firstColumn="1" w:lastColumn="0" w:oddVBand="0" w:evenVBand="0" w:oddHBand="0" w:evenHBand="0" w:firstRowFirstColumn="0" w:firstRowLastColumn="0" w:lastRowFirstColumn="0" w:lastRowLastColumn="0"/>
            <w:tcW w:w="1927" w:type="dxa"/>
          </w:tcPr>
          <w:p w14:paraId="0D459C21" w14:textId="77777777" w:rsidR="00CC361F" w:rsidRPr="00EB621B" w:rsidRDefault="00CC361F" w:rsidP="00F642F4">
            <w:pPr>
              <w:jc w:val="center"/>
              <w:rPr>
                <w:rFonts w:asciiTheme="majorHAnsi" w:hAnsiTheme="majorHAnsi"/>
              </w:rPr>
            </w:pPr>
            <w:r>
              <w:rPr>
                <w:rFonts w:asciiTheme="majorHAnsi" w:hAnsiTheme="majorHAnsi"/>
              </w:rPr>
              <w:t>1</w:t>
            </w:r>
          </w:p>
        </w:tc>
        <w:tc>
          <w:tcPr>
            <w:tcW w:w="2256" w:type="dxa"/>
          </w:tcPr>
          <w:p w14:paraId="42835B5B" w14:textId="77777777" w:rsidR="00CC361F" w:rsidRPr="00EB621B" w:rsidRDefault="00CC361F" w:rsidP="00F642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1.02%</w:t>
            </w:r>
          </w:p>
        </w:tc>
      </w:tr>
      <w:tr w:rsidR="00CC361F" w:rsidRPr="00EB621B" w14:paraId="409FBE8F" w14:textId="77777777" w:rsidTr="00CC36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Pr>
          <w:p w14:paraId="792BF7DF" w14:textId="77777777" w:rsidR="00CC361F" w:rsidRPr="00EB621B" w:rsidRDefault="00CC361F" w:rsidP="00F642F4">
            <w:pPr>
              <w:jc w:val="center"/>
              <w:rPr>
                <w:rFonts w:asciiTheme="majorHAnsi" w:hAnsiTheme="majorHAnsi"/>
              </w:rPr>
            </w:pPr>
            <w:r>
              <w:rPr>
                <w:rFonts w:asciiTheme="majorHAnsi" w:hAnsiTheme="majorHAnsi"/>
              </w:rPr>
              <w:t>2</w:t>
            </w:r>
          </w:p>
        </w:tc>
        <w:tc>
          <w:tcPr>
            <w:tcW w:w="2256" w:type="dxa"/>
          </w:tcPr>
          <w:p w14:paraId="26D125B1" w14:textId="77777777" w:rsidR="00CC361F" w:rsidRPr="00EB621B" w:rsidRDefault="00CC361F" w:rsidP="00F642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1.88%</w:t>
            </w:r>
          </w:p>
        </w:tc>
      </w:tr>
      <w:tr w:rsidR="00CC361F" w:rsidRPr="00EB621B" w14:paraId="536EBF04" w14:textId="77777777" w:rsidTr="00CC361F">
        <w:trPr>
          <w:jc w:val="center"/>
        </w:trPr>
        <w:tc>
          <w:tcPr>
            <w:cnfStyle w:val="001000000000" w:firstRow="0" w:lastRow="0" w:firstColumn="1" w:lastColumn="0" w:oddVBand="0" w:evenVBand="0" w:oddHBand="0" w:evenHBand="0" w:firstRowFirstColumn="0" w:firstRowLastColumn="0" w:lastRowFirstColumn="0" w:lastRowLastColumn="0"/>
            <w:tcW w:w="1927" w:type="dxa"/>
          </w:tcPr>
          <w:p w14:paraId="4B5E43D3" w14:textId="77777777" w:rsidR="00CC361F" w:rsidRPr="00EB621B" w:rsidRDefault="00CC361F" w:rsidP="00F642F4">
            <w:pPr>
              <w:jc w:val="center"/>
              <w:rPr>
                <w:rFonts w:asciiTheme="majorHAnsi" w:hAnsiTheme="majorHAnsi"/>
              </w:rPr>
            </w:pPr>
            <w:r>
              <w:rPr>
                <w:rFonts w:asciiTheme="majorHAnsi" w:hAnsiTheme="majorHAnsi"/>
              </w:rPr>
              <w:t>3</w:t>
            </w:r>
          </w:p>
        </w:tc>
        <w:tc>
          <w:tcPr>
            <w:tcW w:w="2256" w:type="dxa"/>
          </w:tcPr>
          <w:p w14:paraId="7A5CC140" w14:textId="77777777" w:rsidR="00CC361F" w:rsidRPr="00EB621B" w:rsidRDefault="0018168C" w:rsidP="00F642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3.72</w:t>
            </w:r>
            <w:r w:rsidR="00CC361F">
              <w:rPr>
                <w:rFonts w:asciiTheme="majorHAnsi" w:hAnsiTheme="majorHAnsi"/>
              </w:rPr>
              <w:t>%</w:t>
            </w:r>
          </w:p>
        </w:tc>
      </w:tr>
      <w:tr w:rsidR="00CC361F" w:rsidRPr="00EB621B" w14:paraId="70F58E74" w14:textId="77777777" w:rsidTr="00CC36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7" w:type="dxa"/>
          </w:tcPr>
          <w:p w14:paraId="5AA2E594" w14:textId="77777777" w:rsidR="00CC361F" w:rsidRPr="00EB621B" w:rsidRDefault="00CC361F" w:rsidP="00F642F4">
            <w:pPr>
              <w:jc w:val="center"/>
              <w:rPr>
                <w:rFonts w:asciiTheme="majorHAnsi" w:hAnsiTheme="majorHAnsi"/>
              </w:rPr>
            </w:pPr>
            <w:r>
              <w:rPr>
                <w:rFonts w:asciiTheme="majorHAnsi" w:hAnsiTheme="majorHAnsi"/>
              </w:rPr>
              <w:t>4</w:t>
            </w:r>
          </w:p>
        </w:tc>
        <w:tc>
          <w:tcPr>
            <w:tcW w:w="2256" w:type="dxa"/>
          </w:tcPr>
          <w:p w14:paraId="364E3289" w14:textId="77777777" w:rsidR="00CC361F" w:rsidRPr="00EB621B" w:rsidRDefault="00CC361F" w:rsidP="00F642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8.7</w:t>
            </w:r>
            <w:r w:rsidR="0018168C">
              <w:rPr>
                <w:rFonts w:asciiTheme="majorHAnsi" w:hAnsiTheme="majorHAnsi"/>
              </w:rPr>
              <w:t>0</w:t>
            </w:r>
            <w:r>
              <w:rPr>
                <w:rFonts w:asciiTheme="majorHAnsi" w:hAnsiTheme="majorHAnsi"/>
              </w:rPr>
              <w:t>%</w:t>
            </w:r>
          </w:p>
        </w:tc>
      </w:tr>
      <w:tr w:rsidR="00CC361F" w:rsidRPr="00EB621B" w14:paraId="3EF2BD5A" w14:textId="77777777" w:rsidTr="00CC361F">
        <w:trPr>
          <w:jc w:val="center"/>
        </w:trPr>
        <w:tc>
          <w:tcPr>
            <w:cnfStyle w:val="001000000000" w:firstRow="0" w:lastRow="0" w:firstColumn="1" w:lastColumn="0" w:oddVBand="0" w:evenVBand="0" w:oddHBand="0" w:evenHBand="0" w:firstRowFirstColumn="0" w:firstRowLastColumn="0" w:lastRowFirstColumn="0" w:lastRowLastColumn="0"/>
            <w:tcW w:w="1927" w:type="dxa"/>
          </w:tcPr>
          <w:p w14:paraId="1766EC6F" w14:textId="77777777" w:rsidR="00CC361F" w:rsidRPr="00EB621B" w:rsidRDefault="00CC361F" w:rsidP="00F642F4">
            <w:pPr>
              <w:jc w:val="center"/>
              <w:rPr>
                <w:rFonts w:asciiTheme="majorHAnsi" w:hAnsiTheme="majorHAnsi"/>
                <w:vertAlign w:val="superscript"/>
              </w:rPr>
            </w:pPr>
            <w:r>
              <w:rPr>
                <w:rFonts w:asciiTheme="majorHAnsi" w:hAnsiTheme="majorHAnsi" w:cstheme="majorHAnsi"/>
              </w:rPr>
              <w:t>≥</w:t>
            </w:r>
            <w:r>
              <w:rPr>
                <w:rFonts w:asciiTheme="majorHAnsi" w:hAnsiTheme="majorHAnsi"/>
              </w:rPr>
              <w:t>5</w:t>
            </w:r>
          </w:p>
        </w:tc>
        <w:tc>
          <w:tcPr>
            <w:tcW w:w="2256" w:type="dxa"/>
          </w:tcPr>
          <w:p w14:paraId="62890E34" w14:textId="77777777" w:rsidR="00CC361F" w:rsidRPr="00EB621B" w:rsidRDefault="00CC361F" w:rsidP="00F642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12.5%</w:t>
            </w:r>
          </w:p>
        </w:tc>
      </w:tr>
    </w:tbl>
    <w:p w14:paraId="01570515" w14:textId="77777777" w:rsidR="00CC361F" w:rsidRDefault="00CC361F" w:rsidP="001C244F">
      <w:pPr>
        <w:jc w:val="both"/>
        <w:rPr>
          <w:rFonts w:ascii="Calibri" w:hAnsi="Calibri" w:cs="Calibri"/>
        </w:rPr>
      </w:pPr>
    </w:p>
    <w:p w14:paraId="026AB2E0" w14:textId="135BC1E8" w:rsidR="004D413F" w:rsidRDefault="003F5323" w:rsidP="00866E83">
      <w:pPr>
        <w:numPr>
          <w:ilvl w:val="0"/>
          <w:numId w:val="1"/>
        </w:numPr>
        <w:jc w:val="both"/>
        <w:rPr>
          <w:rFonts w:ascii="Calibri" w:hAnsi="Calibri" w:cs="Calibri"/>
        </w:rPr>
      </w:pPr>
      <w:r>
        <w:rPr>
          <w:rFonts w:ascii="Calibri" w:hAnsi="Calibri" w:cs="Calibri"/>
        </w:rPr>
        <w:t xml:space="preserve">The new oral anticoagulants (Dabigatran, Rivaroxaban) </w:t>
      </w:r>
      <w:r w:rsidR="004D413F">
        <w:rPr>
          <w:rFonts w:ascii="Calibri" w:hAnsi="Calibri" w:cs="Calibri"/>
        </w:rPr>
        <w:t xml:space="preserve">should </w:t>
      </w:r>
      <w:r w:rsidR="004D413F" w:rsidRPr="003F5323">
        <w:rPr>
          <w:rFonts w:ascii="Calibri" w:hAnsi="Calibri" w:cs="Calibri"/>
          <w:b/>
        </w:rPr>
        <w:t>not</w:t>
      </w:r>
      <w:r w:rsidR="004D413F">
        <w:rPr>
          <w:rFonts w:ascii="Calibri" w:hAnsi="Calibri" w:cs="Calibri"/>
        </w:rPr>
        <w:t xml:space="preserve"> be combined with aspirin or other anti-platelet agents.</w:t>
      </w:r>
      <w:r>
        <w:rPr>
          <w:rFonts w:ascii="Calibri" w:hAnsi="Calibri" w:cs="Calibri"/>
        </w:rPr>
        <w:t xml:space="preserve"> Warfarin </w:t>
      </w:r>
      <w:r w:rsidRPr="003F5323">
        <w:rPr>
          <w:rFonts w:ascii="Calibri" w:hAnsi="Calibri" w:cs="Calibri"/>
          <w:b/>
        </w:rPr>
        <w:t>may</w:t>
      </w:r>
      <w:r>
        <w:rPr>
          <w:rFonts w:ascii="Calibri" w:hAnsi="Calibri" w:cs="Calibri"/>
        </w:rPr>
        <w:t xml:space="preserve"> be combined with aspirin or other anti-platelets in particular circumstances.</w:t>
      </w:r>
      <w:r w:rsidR="004D413F">
        <w:rPr>
          <w:rFonts w:ascii="Calibri" w:hAnsi="Calibri" w:cs="Calibri"/>
        </w:rPr>
        <w:t xml:space="preserve"> In patients taking aspirin for vascular disease, </w:t>
      </w:r>
      <w:r w:rsidR="00F642F4">
        <w:rPr>
          <w:rFonts w:ascii="Calibri" w:hAnsi="Calibri" w:cs="Calibri"/>
        </w:rPr>
        <w:t>oral anticoagulants are</w:t>
      </w:r>
      <w:r w:rsidR="004D413F">
        <w:rPr>
          <w:rFonts w:ascii="Calibri" w:hAnsi="Calibri" w:cs="Calibri"/>
        </w:rPr>
        <w:t xml:space="preserve"> an acceptable substitute. </w:t>
      </w:r>
      <w:r w:rsidR="00866E83">
        <w:rPr>
          <w:rFonts w:ascii="Calibri" w:hAnsi="Calibri" w:cs="Calibri"/>
        </w:rPr>
        <w:t>If a new anticoagulant is to be used in this situation then Rivaroxaban is preferred as there are concerns of a marginal increase in the rate of heart attack with Dabigatran.</w:t>
      </w:r>
    </w:p>
    <w:p w14:paraId="525CF05A" w14:textId="77777777" w:rsidR="004D413F" w:rsidRDefault="004D413F" w:rsidP="004D413F">
      <w:pPr>
        <w:pStyle w:val="ListParagraph"/>
        <w:rPr>
          <w:rFonts w:ascii="Calibri" w:hAnsi="Calibri" w:cs="Calibri"/>
        </w:rPr>
      </w:pPr>
    </w:p>
    <w:p w14:paraId="527D7BC7" w14:textId="77777777" w:rsidR="004D413F" w:rsidRDefault="004D413F" w:rsidP="00866E83">
      <w:pPr>
        <w:numPr>
          <w:ilvl w:val="1"/>
          <w:numId w:val="1"/>
        </w:numPr>
        <w:jc w:val="both"/>
        <w:rPr>
          <w:rFonts w:ascii="Calibri" w:hAnsi="Calibri" w:cs="Calibri"/>
        </w:rPr>
      </w:pPr>
      <w:r>
        <w:rPr>
          <w:rFonts w:ascii="Calibri" w:hAnsi="Calibri" w:cs="Calibri"/>
        </w:rPr>
        <w:t xml:space="preserve">Discussion should take place with the stroke team for patients taking dual antiplatelet therapy to prevent stroke/TIA. </w:t>
      </w:r>
    </w:p>
    <w:p w14:paraId="33027309" w14:textId="77777777" w:rsidR="004D413F" w:rsidRPr="004D413F" w:rsidRDefault="004D413F" w:rsidP="004D413F">
      <w:pPr>
        <w:numPr>
          <w:ilvl w:val="1"/>
          <w:numId w:val="1"/>
        </w:numPr>
        <w:jc w:val="both"/>
        <w:rPr>
          <w:rFonts w:ascii="Calibri" w:hAnsi="Calibri" w:cs="Calibri"/>
        </w:rPr>
      </w:pPr>
      <w:r>
        <w:rPr>
          <w:rFonts w:ascii="Calibri" w:hAnsi="Calibri" w:cs="Calibri"/>
        </w:rPr>
        <w:t xml:space="preserve">Discussion should take place with the cardiologists for patients taking dual antiplatelet therapy to treat NSTEMIs and/or stents. </w:t>
      </w:r>
      <w:r w:rsidRPr="004D413F">
        <w:rPr>
          <w:rFonts w:ascii="Calibri" w:hAnsi="Calibri" w:cs="Calibri"/>
          <w:b/>
        </w:rPr>
        <w:t>Dual antiplatelet therapy should never be stopped in a patient with a stent without prior discussion with a cardiologist.</w:t>
      </w:r>
      <w:r>
        <w:rPr>
          <w:rFonts w:ascii="Calibri" w:hAnsi="Calibri" w:cs="Calibri"/>
          <w:b/>
        </w:rPr>
        <w:t xml:space="preserve"> </w:t>
      </w:r>
      <w:r>
        <w:rPr>
          <w:rFonts w:ascii="Calibri" w:hAnsi="Calibri" w:cs="Calibri"/>
        </w:rPr>
        <w:t>In patients on single antiplatelet therapy with a stent in situ the antiplatelet agent should be continue</w:t>
      </w:r>
      <w:r w:rsidR="00F642F4">
        <w:rPr>
          <w:rFonts w:ascii="Calibri" w:hAnsi="Calibri" w:cs="Calibri"/>
        </w:rPr>
        <w:t>d</w:t>
      </w:r>
      <w:r>
        <w:rPr>
          <w:rFonts w:ascii="Calibri" w:hAnsi="Calibri" w:cs="Calibri"/>
        </w:rPr>
        <w:t xml:space="preserve"> alongside </w:t>
      </w:r>
      <w:r w:rsidR="003F5323">
        <w:rPr>
          <w:rFonts w:ascii="Calibri" w:hAnsi="Calibri" w:cs="Calibri"/>
        </w:rPr>
        <w:t>warfarin</w:t>
      </w:r>
      <w:r>
        <w:rPr>
          <w:rFonts w:ascii="Calibri" w:hAnsi="Calibri" w:cs="Calibri"/>
        </w:rPr>
        <w:t xml:space="preserve"> in all but </w:t>
      </w:r>
      <w:r w:rsidRPr="004D413F">
        <w:rPr>
          <w:rFonts w:ascii="Calibri" w:hAnsi="Calibri" w:cs="Calibri"/>
        </w:rPr>
        <w:t>exceptional cases.</w:t>
      </w:r>
    </w:p>
    <w:p w14:paraId="0003EFC6" w14:textId="77777777" w:rsidR="004D413F" w:rsidRPr="004D413F" w:rsidRDefault="004D413F" w:rsidP="004D413F">
      <w:pPr>
        <w:ind w:left="1440"/>
        <w:jc w:val="both"/>
        <w:rPr>
          <w:rFonts w:ascii="Calibri" w:hAnsi="Calibri" w:cs="Calibri"/>
        </w:rPr>
      </w:pPr>
    </w:p>
    <w:p w14:paraId="321227B1" w14:textId="7AB88822" w:rsidR="004D413F" w:rsidRDefault="004D413F" w:rsidP="004D413F">
      <w:pPr>
        <w:pStyle w:val="ListParagraph"/>
        <w:numPr>
          <w:ilvl w:val="0"/>
          <w:numId w:val="1"/>
        </w:numPr>
        <w:jc w:val="both"/>
        <w:rPr>
          <w:rFonts w:asciiTheme="majorHAnsi" w:hAnsiTheme="majorHAnsi"/>
        </w:rPr>
      </w:pPr>
      <w:r w:rsidRPr="003F5323">
        <w:rPr>
          <w:rFonts w:asciiTheme="majorHAnsi" w:hAnsiTheme="majorHAnsi"/>
        </w:rPr>
        <w:t xml:space="preserve">Dabigatran and Rivaroxaban are new oral anticoagulants recommended for use in patients with </w:t>
      </w:r>
      <w:r w:rsidRPr="003F5323">
        <w:rPr>
          <w:rFonts w:asciiTheme="majorHAnsi" w:hAnsiTheme="majorHAnsi"/>
          <w:b/>
        </w:rPr>
        <w:t>non-valvular</w:t>
      </w:r>
      <w:r w:rsidRPr="003F5323">
        <w:rPr>
          <w:rFonts w:asciiTheme="majorHAnsi" w:hAnsiTheme="majorHAnsi"/>
        </w:rPr>
        <w:t xml:space="preserve"> atrial fibrillation (i.e. patients without mitral stenosis or </w:t>
      </w:r>
      <w:r w:rsidR="003F5323" w:rsidRPr="003F5323">
        <w:rPr>
          <w:rFonts w:asciiTheme="majorHAnsi" w:hAnsiTheme="majorHAnsi"/>
        </w:rPr>
        <w:t xml:space="preserve">patients without </w:t>
      </w:r>
      <w:r w:rsidRPr="003F5323">
        <w:rPr>
          <w:rFonts w:asciiTheme="majorHAnsi" w:hAnsiTheme="majorHAnsi"/>
        </w:rPr>
        <w:t>moderate or greater mitral regurgitation).</w:t>
      </w:r>
      <w:r w:rsidRPr="004D413F">
        <w:rPr>
          <w:rFonts w:asciiTheme="majorHAnsi" w:hAnsiTheme="majorHAnsi"/>
        </w:rPr>
        <w:t xml:space="preserve"> They are </w:t>
      </w:r>
      <w:r w:rsidRPr="004D413F">
        <w:rPr>
          <w:rFonts w:asciiTheme="majorHAnsi" w:hAnsiTheme="majorHAnsi"/>
        </w:rPr>
        <w:lastRenderedPageBreak/>
        <w:t xml:space="preserve">NICE approved </w:t>
      </w:r>
      <w:r w:rsidR="00951B11">
        <w:rPr>
          <w:rFonts w:asciiTheme="majorHAnsi" w:hAnsiTheme="majorHAnsi"/>
        </w:rPr>
        <w:t xml:space="preserve">(hyperlinks: </w:t>
      </w:r>
      <w:hyperlink r:id="rId8" w:history="1">
        <w:r w:rsidR="00951B11" w:rsidRPr="00951B11">
          <w:rPr>
            <w:rStyle w:val="Hyperlink"/>
            <w:rFonts w:asciiTheme="majorHAnsi" w:hAnsiTheme="majorHAnsi"/>
          </w:rPr>
          <w:t>Dabigatran</w:t>
        </w:r>
      </w:hyperlink>
      <w:r w:rsidR="00951B11">
        <w:rPr>
          <w:rFonts w:asciiTheme="majorHAnsi" w:hAnsiTheme="majorHAnsi"/>
        </w:rPr>
        <w:t xml:space="preserve">, </w:t>
      </w:r>
      <w:hyperlink r:id="rId9" w:history="1">
        <w:r w:rsidR="00951B11" w:rsidRPr="00951B11">
          <w:rPr>
            <w:rStyle w:val="Hyperlink"/>
            <w:rFonts w:asciiTheme="majorHAnsi" w:hAnsiTheme="majorHAnsi"/>
          </w:rPr>
          <w:t>Rivaroxaban</w:t>
        </w:r>
      </w:hyperlink>
      <w:r w:rsidR="00951B11">
        <w:rPr>
          <w:rFonts w:asciiTheme="majorHAnsi" w:hAnsiTheme="majorHAnsi"/>
        </w:rPr>
        <w:t xml:space="preserve">) </w:t>
      </w:r>
      <w:r w:rsidRPr="004D413F">
        <w:rPr>
          <w:rFonts w:asciiTheme="majorHAnsi" w:hAnsiTheme="majorHAnsi"/>
        </w:rPr>
        <w:t>and</w:t>
      </w:r>
      <w:r w:rsidR="00951B11">
        <w:rPr>
          <w:rFonts w:asciiTheme="majorHAnsi" w:hAnsiTheme="majorHAnsi"/>
        </w:rPr>
        <w:t xml:space="preserve"> “green drugs”</w:t>
      </w:r>
      <w:r w:rsidRPr="004D413F">
        <w:rPr>
          <w:rFonts w:asciiTheme="majorHAnsi" w:hAnsiTheme="majorHAnsi"/>
        </w:rPr>
        <w:t xml:space="preserve"> approved for use in Somerset. </w:t>
      </w:r>
      <w:r>
        <w:rPr>
          <w:rFonts w:asciiTheme="majorHAnsi" w:hAnsiTheme="majorHAnsi"/>
        </w:rPr>
        <w:t>They do not need monitoring in the same way as warfarin</w:t>
      </w:r>
      <w:r w:rsidR="0085732A">
        <w:rPr>
          <w:rFonts w:asciiTheme="majorHAnsi" w:hAnsiTheme="majorHAnsi"/>
        </w:rPr>
        <w:t>. At baseline U&amp;E and LFTs should be checked. U&amp;Es should be checked every 6 months. Bloods may need to be repeated if the clinical situation changes</w:t>
      </w:r>
      <w:r>
        <w:rPr>
          <w:rFonts w:asciiTheme="majorHAnsi" w:hAnsiTheme="majorHAnsi"/>
        </w:rPr>
        <w:t>.</w:t>
      </w:r>
      <w:r w:rsidR="00A804D5">
        <w:rPr>
          <w:rFonts w:asciiTheme="majorHAnsi" w:hAnsiTheme="majorHAnsi"/>
        </w:rPr>
        <w:t xml:space="preserve"> </w:t>
      </w:r>
    </w:p>
    <w:p w14:paraId="7D8983F2" w14:textId="77777777" w:rsidR="004D413F" w:rsidRPr="004D413F" w:rsidRDefault="004D413F" w:rsidP="004D413F">
      <w:pPr>
        <w:pStyle w:val="ListParagraph"/>
        <w:rPr>
          <w:rFonts w:asciiTheme="majorHAnsi" w:hAnsiTheme="majorHAnsi"/>
        </w:rPr>
      </w:pPr>
    </w:p>
    <w:p w14:paraId="1F97CFFE" w14:textId="77777777" w:rsidR="004D413F" w:rsidRDefault="004D413F" w:rsidP="004D413F">
      <w:pPr>
        <w:numPr>
          <w:ilvl w:val="0"/>
          <w:numId w:val="1"/>
        </w:numPr>
        <w:jc w:val="both"/>
        <w:rPr>
          <w:rFonts w:ascii="Calibri" w:hAnsi="Calibri" w:cs="Calibri"/>
        </w:rPr>
      </w:pPr>
      <w:r>
        <w:rPr>
          <w:rFonts w:ascii="Calibri" w:hAnsi="Calibri" w:cs="Calibri"/>
        </w:rPr>
        <w:t>They are approved for use if there is one or more of the following risk factors:</w:t>
      </w:r>
    </w:p>
    <w:p w14:paraId="1E1302E4" w14:textId="77777777" w:rsidR="004D413F" w:rsidRDefault="004D413F" w:rsidP="004D413F">
      <w:pPr>
        <w:pStyle w:val="ListParagraph"/>
        <w:rPr>
          <w:rFonts w:ascii="Calibri" w:hAnsi="Calibri" w:cs="Calibri"/>
        </w:rPr>
      </w:pPr>
    </w:p>
    <w:p w14:paraId="5A62A078" w14:textId="77777777" w:rsidR="004D413F" w:rsidRPr="004D413F" w:rsidRDefault="00A804D5" w:rsidP="004D413F">
      <w:pPr>
        <w:numPr>
          <w:ilvl w:val="1"/>
          <w:numId w:val="1"/>
        </w:numPr>
        <w:jc w:val="both"/>
        <w:rPr>
          <w:rFonts w:ascii="Calibri" w:hAnsi="Calibri" w:cs="Calibri"/>
        </w:rPr>
      </w:pPr>
      <w:r>
        <w:rPr>
          <w:rFonts w:ascii="Calibri" w:hAnsi="Calibri" w:cs="Calibri"/>
        </w:rPr>
        <w:t>P</w:t>
      </w:r>
      <w:r w:rsidR="004D413F" w:rsidRPr="004D413F">
        <w:rPr>
          <w:rFonts w:ascii="Calibri" w:hAnsi="Calibri" w:cs="Calibri"/>
        </w:rPr>
        <w:t>revious stroke, transient ischae</w:t>
      </w:r>
      <w:r>
        <w:rPr>
          <w:rFonts w:ascii="Calibri" w:hAnsi="Calibri" w:cs="Calibri"/>
        </w:rPr>
        <w:t>mic attack or systemic embolism.</w:t>
      </w:r>
    </w:p>
    <w:p w14:paraId="14B30BEA" w14:textId="77777777" w:rsidR="004D413F" w:rsidRPr="004D413F" w:rsidRDefault="00A804D5" w:rsidP="004D413F">
      <w:pPr>
        <w:numPr>
          <w:ilvl w:val="1"/>
          <w:numId w:val="1"/>
        </w:numPr>
        <w:jc w:val="both"/>
        <w:rPr>
          <w:rFonts w:ascii="Calibri" w:hAnsi="Calibri" w:cs="Calibri"/>
        </w:rPr>
      </w:pPr>
      <w:r>
        <w:rPr>
          <w:rFonts w:ascii="Calibri" w:hAnsi="Calibri" w:cs="Calibri"/>
        </w:rPr>
        <w:t>L</w:t>
      </w:r>
      <w:r w:rsidR="004D413F" w:rsidRPr="004D413F">
        <w:rPr>
          <w:rFonts w:ascii="Calibri" w:hAnsi="Calibri" w:cs="Calibri"/>
        </w:rPr>
        <w:t>eft ventricular ejection fraction below 40%</w:t>
      </w:r>
      <w:r>
        <w:rPr>
          <w:rFonts w:ascii="Calibri" w:hAnsi="Calibri" w:cs="Calibri"/>
        </w:rPr>
        <w:t>.</w:t>
      </w:r>
      <w:r w:rsidR="004D413F" w:rsidRPr="004D413F">
        <w:rPr>
          <w:rFonts w:ascii="Calibri" w:hAnsi="Calibri" w:cs="Calibri"/>
        </w:rPr>
        <w:t xml:space="preserve"> </w:t>
      </w:r>
    </w:p>
    <w:p w14:paraId="33DCCE33" w14:textId="77777777" w:rsidR="004D413F" w:rsidRPr="004D413F" w:rsidRDefault="00A804D5" w:rsidP="004D413F">
      <w:pPr>
        <w:numPr>
          <w:ilvl w:val="1"/>
          <w:numId w:val="1"/>
        </w:numPr>
        <w:jc w:val="both"/>
        <w:rPr>
          <w:rFonts w:ascii="Calibri" w:hAnsi="Calibri" w:cs="Calibri"/>
        </w:rPr>
      </w:pPr>
      <w:r>
        <w:rPr>
          <w:rFonts w:ascii="Calibri" w:hAnsi="Calibri" w:cs="Calibri"/>
        </w:rPr>
        <w:t>S</w:t>
      </w:r>
      <w:r w:rsidR="004D413F" w:rsidRPr="004D413F">
        <w:rPr>
          <w:rFonts w:ascii="Calibri" w:hAnsi="Calibri" w:cs="Calibri"/>
        </w:rPr>
        <w:t>ymptomatic heart failure of New York Heart Association (NYHA) class 2 or above</w:t>
      </w:r>
      <w:r>
        <w:rPr>
          <w:rFonts w:ascii="Calibri" w:hAnsi="Calibri" w:cs="Calibri"/>
        </w:rPr>
        <w:t>.</w:t>
      </w:r>
    </w:p>
    <w:p w14:paraId="38DF4B3A" w14:textId="77777777" w:rsidR="004D413F" w:rsidRPr="004D413F" w:rsidRDefault="00A804D5" w:rsidP="004D413F">
      <w:pPr>
        <w:numPr>
          <w:ilvl w:val="1"/>
          <w:numId w:val="1"/>
        </w:numPr>
        <w:jc w:val="both"/>
        <w:rPr>
          <w:rFonts w:ascii="Calibri" w:hAnsi="Calibri" w:cs="Calibri"/>
        </w:rPr>
      </w:pPr>
      <w:r>
        <w:rPr>
          <w:rFonts w:ascii="Calibri" w:hAnsi="Calibri" w:cs="Calibri"/>
        </w:rPr>
        <w:t>A</w:t>
      </w:r>
      <w:r w:rsidR="004D413F" w:rsidRPr="004D413F">
        <w:rPr>
          <w:rFonts w:ascii="Calibri" w:hAnsi="Calibri" w:cs="Calibri"/>
        </w:rPr>
        <w:t>ge 75 years or older</w:t>
      </w:r>
      <w:r>
        <w:rPr>
          <w:rFonts w:ascii="Calibri" w:hAnsi="Calibri" w:cs="Calibri"/>
        </w:rPr>
        <w:t>.</w:t>
      </w:r>
    </w:p>
    <w:p w14:paraId="6955BB99" w14:textId="77777777" w:rsidR="004D413F" w:rsidRDefault="00A804D5" w:rsidP="004D413F">
      <w:pPr>
        <w:numPr>
          <w:ilvl w:val="1"/>
          <w:numId w:val="1"/>
        </w:numPr>
        <w:jc w:val="both"/>
        <w:rPr>
          <w:rFonts w:ascii="Calibri" w:hAnsi="Calibri" w:cs="Calibri"/>
        </w:rPr>
      </w:pPr>
      <w:r>
        <w:rPr>
          <w:rFonts w:ascii="Calibri" w:hAnsi="Calibri" w:cs="Calibri"/>
        </w:rPr>
        <w:t>A</w:t>
      </w:r>
      <w:r w:rsidR="004D413F" w:rsidRPr="004D413F">
        <w:rPr>
          <w:rFonts w:ascii="Calibri" w:hAnsi="Calibri" w:cs="Calibri"/>
        </w:rPr>
        <w:t>ge 65 years or older with one of the following: diabetes mellitus, coronary artery disease or hypertension.</w:t>
      </w:r>
    </w:p>
    <w:p w14:paraId="190ABA05" w14:textId="77777777" w:rsidR="00A804D5" w:rsidRPr="00340D46" w:rsidRDefault="00A804D5" w:rsidP="00A804D5">
      <w:pPr>
        <w:jc w:val="both"/>
        <w:rPr>
          <w:rFonts w:ascii="Calibri" w:hAnsi="Calibri" w:cs="Calibri"/>
        </w:rPr>
      </w:pPr>
    </w:p>
    <w:p w14:paraId="4B8F18B3" w14:textId="208EF7A2" w:rsidR="00A804D5" w:rsidRDefault="003D5C57" w:rsidP="00A804D5">
      <w:pPr>
        <w:numPr>
          <w:ilvl w:val="0"/>
          <w:numId w:val="1"/>
        </w:numPr>
        <w:jc w:val="both"/>
        <w:rPr>
          <w:rFonts w:ascii="Calibri" w:hAnsi="Calibri" w:cs="Calibri"/>
          <w:b/>
        </w:rPr>
      </w:pPr>
      <w:r>
        <w:rPr>
          <w:rFonts w:ascii="Calibri" w:hAnsi="Calibri" w:cs="Calibri"/>
        </w:rPr>
        <w:t>Dabigatran is a twice-</w:t>
      </w:r>
      <w:bookmarkStart w:id="0" w:name="_GoBack"/>
      <w:bookmarkEnd w:id="0"/>
      <w:r w:rsidR="00A804D5" w:rsidRPr="00340D46">
        <w:rPr>
          <w:rFonts w:ascii="Calibri" w:hAnsi="Calibri" w:cs="Calibri"/>
        </w:rPr>
        <w:t>daily drug. There are two doses – 150mg bd and 110mg bd. The</w:t>
      </w:r>
      <w:r w:rsidR="00A804D5">
        <w:rPr>
          <w:rFonts w:ascii="Calibri" w:hAnsi="Calibri" w:cs="Calibri"/>
        </w:rPr>
        <w:t xml:space="preserve"> higher dose is more effective than warfarin at preventing stroke but has a similar risk of serious bleeding;</w:t>
      </w:r>
      <w:r w:rsidR="00340D46">
        <w:rPr>
          <w:rFonts w:ascii="Calibri" w:hAnsi="Calibri" w:cs="Calibri"/>
        </w:rPr>
        <w:t xml:space="preserve"> t</w:t>
      </w:r>
      <w:r w:rsidR="00A804D5">
        <w:rPr>
          <w:rFonts w:ascii="Calibri" w:hAnsi="Calibri" w:cs="Calibri"/>
        </w:rPr>
        <w:t xml:space="preserve">he risk of intracranial bleeding is much lower. </w:t>
      </w:r>
      <w:r w:rsidR="00340D46">
        <w:rPr>
          <w:rFonts w:ascii="Calibri" w:hAnsi="Calibri" w:cs="Calibri"/>
        </w:rPr>
        <w:t xml:space="preserve">The lower dose is as effective as warfarin at preventing stroke but has a lower risk of bleeding. </w:t>
      </w:r>
      <w:r w:rsidR="00340D46" w:rsidRPr="00340D46">
        <w:rPr>
          <w:rFonts w:ascii="Calibri" w:hAnsi="Calibri" w:cs="Calibri"/>
          <w:b/>
        </w:rPr>
        <w:t xml:space="preserve">We will </w:t>
      </w:r>
      <w:r w:rsidR="002A68E3">
        <w:rPr>
          <w:rFonts w:ascii="Calibri" w:hAnsi="Calibri" w:cs="Calibri"/>
          <w:b/>
        </w:rPr>
        <w:t xml:space="preserve">generally </w:t>
      </w:r>
      <w:proofErr w:type="spellStart"/>
      <w:r w:rsidR="00340D46" w:rsidRPr="00340D46">
        <w:rPr>
          <w:rFonts w:ascii="Calibri" w:hAnsi="Calibri" w:cs="Calibri"/>
          <w:b/>
        </w:rPr>
        <w:t>cardiovert</w:t>
      </w:r>
      <w:proofErr w:type="spellEnd"/>
      <w:r w:rsidR="00340D46" w:rsidRPr="00340D46">
        <w:rPr>
          <w:rFonts w:ascii="Calibri" w:hAnsi="Calibri" w:cs="Calibri"/>
          <w:b/>
        </w:rPr>
        <w:t xml:space="preserve"> patients on Dabigatran.</w:t>
      </w:r>
      <w:r w:rsidR="00340D46">
        <w:rPr>
          <w:rFonts w:ascii="Calibri" w:hAnsi="Calibri" w:cs="Calibri"/>
          <w:b/>
        </w:rPr>
        <w:t xml:space="preserve"> </w:t>
      </w:r>
      <w:r w:rsidR="00380D7B" w:rsidRPr="00380D7B">
        <w:rPr>
          <w:rFonts w:ascii="Calibri" w:hAnsi="Calibri" w:cs="Calibri"/>
        </w:rPr>
        <w:t>Patients should be aware that there is more clinical experience with warfarin than Dabigatran in this situation. Patients should specifically sign to say that they have taken the drug for 4 consecutive weeks without missing a dose.</w:t>
      </w:r>
    </w:p>
    <w:p w14:paraId="4BB35E6C" w14:textId="77777777" w:rsidR="000945F1" w:rsidRDefault="000945F1" w:rsidP="000945F1">
      <w:pPr>
        <w:ind w:left="720"/>
        <w:jc w:val="both"/>
        <w:rPr>
          <w:rFonts w:ascii="Calibri" w:hAnsi="Calibri" w:cs="Calibri"/>
          <w:b/>
        </w:rPr>
      </w:pPr>
    </w:p>
    <w:p w14:paraId="3B3A3571" w14:textId="77777777" w:rsidR="000945F1" w:rsidRDefault="00C116DC" w:rsidP="00A804D5">
      <w:pPr>
        <w:numPr>
          <w:ilvl w:val="0"/>
          <w:numId w:val="1"/>
        </w:numPr>
        <w:jc w:val="both"/>
        <w:rPr>
          <w:rFonts w:ascii="Calibri" w:hAnsi="Calibri" w:cs="Calibri"/>
          <w:b/>
        </w:rPr>
      </w:pPr>
      <w:r>
        <w:rPr>
          <w:rFonts w:ascii="Calibri" w:hAnsi="Calibri" w:cs="Calibri"/>
        </w:rPr>
        <w:t xml:space="preserve">Complete information on </w:t>
      </w:r>
      <w:r w:rsidR="005F7B65">
        <w:rPr>
          <w:rFonts w:ascii="Calibri" w:hAnsi="Calibri" w:cs="Calibri"/>
        </w:rPr>
        <w:t>Dabigatran</w:t>
      </w:r>
      <w:r>
        <w:rPr>
          <w:rFonts w:ascii="Calibri" w:hAnsi="Calibri" w:cs="Calibri"/>
        </w:rPr>
        <w:t xml:space="preserve"> can be found in the </w:t>
      </w:r>
      <w:hyperlink r:id="rId10" w:history="1">
        <w:r w:rsidRPr="00C116DC">
          <w:rPr>
            <w:rStyle w:val="Hyperlink"/>
            <w:rFonts w:ascii="Calibri" w:hAnsi="Calibri" w:cs="Calibri"/>
          </w:rPr>
          <w:t>SPC</w:t>
        </w:r>
      </w:hyperlink>
      <w:r>
        <w:rPr>
          <w:rFonts w:ascii="Calibri" w:hAnsi="Calibri" w:cs="Calibri"/>
        </w:rPr>
        <w:t xml:space="preserve">. Patients should generally be given the higher dose. The lower dose should be used in those aged &gt; 80, or taking verapamil. In those aged between 75-80, or </w:t>
      </w:r>
      <w:r w:rsidR="005E75F5">
        <w:rPr>
          <w:rFonts w:ascii="Calibri" w:hAnsi="Calibri" w:cs="Calibri"/>
        </w:rPr>
        <w:t xml:space="preserve">at </w:t>
      </w:r>
      <w:r>
        <w:rPr>
          <w:rFonts w:ascii="Calibri" w:hAnsi="Calibri" w:cs="Calibri"/>
        </w:rPr>
        <w:t>a high</w:t>
      </w:r>
      <w:r w:rsidR="005E75F5">
        <w:rPr>
          <w:rFonts w:ascii="Calibri" w:hAnsi="Calibri" w:cs="Calibri"/>
        </w:rPr>
        <w:t>er</w:t>
      </w:r>
      <w:r>
        <w:rPr>
          <w:rFonts w:ascii="Calibri" w:hAnsi="Calibri" w:cs="Calibri"/>
        </w:rPr>
        <w:t xml:space="preserve"> risk of bleeding, or</w:t>
      </w:r>
      <w:r w:rsidR="005E75F5">
        <w:rPr>
          <w:rFonts w:ascii="Calibri" w:hAnsi="Calibri" w:cs="Calibri"/>
        </w:rPr>
        <w:t xml:space="preserve"> who have</w:t>
      </w:r>
      <w:r>
        <w:rPr>
          <w:rFonts w:ascii="Calibri" w:hAnsi="Calibri" w:cs="Calibri"/>
        </w:rPr>
        <w:t xml:space="preserve"> </w:t>
      </w:r>
      <w:proofErr w:type="spellStart"/>
      <w:r>
        <w:rPr>
          <w:rFonts w:ascii="Calibri" w:hAnsi="Calibri" w:cs="Calibri"/>
        </w:rPr>
        <w:t>oesophagitis</w:t>
      </w:r>
      <w:proofErr w:type="spellEnd"/>
      <w:r>
        <w:rPr>
          <w:rFonts w:ascii="Calibri" w:hAnsi="Calibri" w:cs="Calibri"/>
        </w:rPr>
        <w:t xml:space="preserve">, gastritis or gastro-oesophageal reflux, or a creatinine clearance of 30-50 ml/min, the lower dose should be considered. Dabigatran should not be used in patients with a creatinine clearance of &lt; 30 ml/min or in those with elevated liver enzymes (&gt; 2x ULN) or in those with pre-existing clotting disorders. </w:t>
      </w:r>
    </w:p>
    <w:p w14:paraId="43211295" w14:textId="77777777" w:rsidR="00340D46" w:rsidRDefault="00340D46" w:rsidP="00340D46">
      <w:pPr>
        <w:jc w:val="both"/>
        <w:rPr>
          <w:rFonts w:ascii="Calibri" w:hAnsi="Calibri" w:cs="Calibri"/>
          <w:b/>
        </w:rPr>
      </w:pPr>
    </w:p>
    <w:p w14:paraId="66D2B27F" w14:textId="77777777" w:rsidR="00FE7837" w:rsidRDefault="00340D46" w:rsidP="00FE7837">
      <w:pPr>
        <w:numPr>
          <w:ilvl w:val="0"/>
          <w:numId w:val="1"/>
        </w:numPr>
        <w:jc w:val="both"/>
        <w:rPr>
          <w:rFonts w:ascii="Calibri" w:hAnsi="Calibri" w:cs="Calibri"/>
          <w:b/>
        </w:rPr>
      </w:pPr>
      <w:r>
        <w:rPr>
          <w:rFonts w:ascii="Calibri" w:hAnsi="Calibri" w:cs="Calibri"/>
        </w:rPr>
        <w:t>Rivaroxaban is a once daily drug. There are two doses – 15mg and 20mg. It is as effective a</w:t>
      </w:r>
      <w:r w:rsidR="00FE7837">
        <w:rPr>
          <w:rFonts w:ascii="Calibri" w:hAnsi="Calibri" w:cs="Calibri"/>
        </w:rPr>
        <w:t>s warfarin at preventing str</w:t>
      </w:r>
      <w:r w:rsidR="0053463B">
        <w:rPr>
          <w:rFonts w:ascii="Calibri" w:hAnsi="Calibri" w:cs="Calibri"/>
        </w:rPr>
        <w:t xml:space="preserve">oke. There is a similar risk </w:t>
      </w:r>
      <w:r w:rsidR="00FE7837">
        <w:rPr>
          <w:rFonts w:ascii="Calibri" w:hAnsi="Calibri" w:cs="Calibri"/>
        </w:rPr>
        <w:t xml:space="preserve">of serious bleeding; the risk of intracranial bleeding is much lower. </w:t>
      </w:r>
      <w:r w:rsidR="00FE7837" w:rsidRPr="00340D46">
        <w:rPr>
          <w:rFonts w:ascii="Calibri" w:hAnsi="Calibri" w:cs="Calibri"/>
          <w:b/>
        </w:rPr>
        <w:t xml:space="preserve">We will </w:t>
      </w:r>
      <w:r w:rsidR="00FE7837">
        <w:rPr>
          <w:rFonts w:ascii="Calibri" w:hAnsi="Calibri" w:cs="Calibri"/>
          <w:b/>
        </w:rPr>
        <w:t xml:space="preserve">not </w:t>
      </w:r>
      <w:r w:rsidR="002A68E3">
        <w:rPr>
          <w:rFonts w:ascii="Calibri" w:hAnsi="Calibri" w:cs="Calibri"/>
          <w:b/>
        </w:rPr>
        <w:t xml:space="preserve">generally </w:t>
      </w:r>
      <w:proofErr w:type="spellStart"/>
      <w:r w:rsidR="00FE7837" w:rsidRPr="00340D46">
        <w:rPr>
          <w:rFonts w:ascii="Calibri" w:hAnsi="Calibri" w:cs="Calibri"/>
          <w:b/>
        </w:rPr>
        <w:t>cardiovert</w:t>
      </w:r>
      <w:proofErr w:type="spellEnd"/>
      <w:r w:rsidR="00FE7837" w:rsidRPr="00340D46">
        <w:rPr>
          <w:rFonts w:ascii="Calibri" w:hAnsi="Calibri" w:cs="Calibri"/>
          <w:b/>
        </w:rPr>
        <w:t xml:space="preserve"> patients on </w:t>
      </w:r>
      <w:r w:rsidR="00FE7837">
        <w:rPr>
          <w:rFonts w:ascii="Calibri" w:hAnsi="Calibri" w:cs="Calibri"/>
          <w:b/>
        </w:rPr>
        <w:t>Rivaroxaban.</w:t>
      </w:r>
      <w:r w:rsidR="002A68E3">
        <w:rPr>
          <w:rFonts w:ascii="Calibri" w:hAnsi="Calibri" w:cs="Calibri"/>
          <w:b/>
        </w:rPr>
        <w:t xml:space="preserve"> </w:t>
      </w:r>
      <w:r w:rsidR="002A68E3">
        <w:rPr>
          <w:rFonts w:ascii="Calibri" w:hAnsi="Calibri" w:cs="Calibri"/>
        </w:rPr>
        <w:t xml:space="preserve">If patients are to be </w:t>
      </w:r>
      <w:proofErr w:type="spellStart"/>
      <w:r w:rsidR="002A68E3">
        <w:rPr>
          <w:rFonts w:ascii="Calibri" w:hAnsi="Calibri" w:cs="Calibri"/>
        </w:rPr>
        <w:t>cardioverted</w:t>
      </w:r>
      <w:proofErr w:type="spellEnd"/>
      <w:r w:rsidR="002A68E3">
        <w:rPr>
          <w:rFonts w:ascii="Calibri" w:hAnsi="Calibri" w:cs="Calibri"/>
        </w:rPr>
        <w:t xml:space="preserve"> on Rivaroxaban, patients should be aware that there are no data to support the use of Rivaroxaban in this situation. Patients should specifically sign to say that they have taken the drug for 4 consecutive weeks without missing a dose.</w:t>
      </w:r>
    </w:p>
    <w:p w14:paraId="3C16A035" w14:textId="77777777" w:rsidR="00FE7837" w:rsidRDefault="00FE7837" w:rsidP="00FE7837">
      <w:pPr>
        <w:pStyle w:val="ListParagraph"/>
        <w:rPr>
          <w:rFonts w:ascii="Calibri" w:hAnsi="Calibri" w:cs="Calibri"/>
          <w:b/>
        </w:rPr>
      </w:pPr>
    </w:p>
    <w:p w14:paraId="4B0CE493" w14:textId="77777777" w:rsidR="004D413F" w:rsidRPr="00F642F4" w:rsidRDefault="00951B11" w:rsidP="00F642F4">
      <w:pPr>
        <w:numPr>
          <w:ilvl w:val="0"/>
          <w:numId w:val="1"/>
        </w:numPr>
        <w:jc w:val="both"/>
        <w:rPr>
          <w:rFonts w:ascii="Calibri" w:hAnsi="Calibri" w:cs="Calibri"/>
          <w:b/>
        </w:rPr>
      </w:pPr>
      <w:r w:rsidRPr="00951B11">
        <w:rPr>
          <w:rFonts w:ascii="Calibri" w:hAnsi="Calibri" w:cs="Calibri"/>
        </w:rPr>
        <w:t xml:space="preserve">Complete information on </w:t>
      </w:r>
      <w:r w:rsidR="005F7B65" w:rsidRPr="00951B11">
        <w:rPr>
          <w:rFonts w:ascii="Calibri" w:hAnsi="Calibri" w:cs="Calibri"/>
        </w:rPr>
        <w:t>Rivaroxaban</w:t>
      </w:r>
      <w:r w:rsidRPr="00951B11">
        <w:rPr>
          <w:rFonts w:ascii="Calibri" w:hAnsi="Calibri" w:cs="Calibri"/>
        </w:rPr>
        <w:t xml:space="preserve"> can be found in the </w:t>
      </w:r>
      <w:hyperlink r:id="rId11" w:history="1">
        <w:r w:rsidRPr="00951B11">
          <w:rPr>
            <w:rStyle w:val="Hyperlink"/>
            <w:rFonts w:ascii="Calibri" w:hAnsi="Calibri" w:cs="Calibri"/>
          </w:rPr>
          <w:t>SPC</w:t>
        </w:r>
      </w:hyperlink>
      <w:r w:rsidRPr="00951B11">
        <w:rPr>
          <w:rFonts w:ascii="Calibri" w:hAnsi="Calibri" w:cs="Calibri"/>
        </w:rPr>
        <w:t>. Patients should generally be given the higher dose. The lower dose should be used in those with a creatinine clearance of between 30-49 ml/min. It may be used with caution in patients with a creatinine clearance of 15-30ml/min. Rivaroxaban is contra-indicated in patients with a cre</w:t>
      </w:r>
      <w:r>
        <w:rPr>
          <w:rFonts w:ascii="Calibri" w:hAnsi="Calibri" w:cs="Calibri"/>
        </w:rPr>
        <w:t xml:space="preserve">atinine clearance of &lt; 15ml/min or in those with hepatic disease associated with a coagulopathy. </w:t>
      </w:r>
    </w:p>
    <w:sectPr w:rsidR="004D413F" w:rsidRPr="00F642F4" w:rsidSect="00866E83">
      <w:pgSz w:w="11900" w:h="16820"/>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119"/>
    <w:multiLevelType w:val="hybridMultilevel"/>
    <w:tmpl w:val="856AB5C6"/>
    <w:lvl w:ilvl="0" w:tplc="027EDA7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1B"/>
    <w:rsid w:val="000556D6"/>
    <w:rsid w:val="000774B3"/>
    <w:rsid w:val="000945F1"/>
    <w:rsid w:val="000C23C9"/>
    <w:rsid w:val="000F40D9"/>
    <w:rsid w:val="000F4514"/>
    <w:rsid w:val="0018168C"/>
    <w:rsid w:val="00184275"/>
    <w:rsid w:val="001C244F"/>
    <w:rsid w:val="00264E10"/>
    <w:rsid w:val="002A68E3"/>
    <w:rsid w:val="00340D46"/>
    <w:rsid w:val="003761B0"/>
    <w:rsid w:val="00380D7B"/>
    <w:rsid w:val="003D3BD1"/>
    <w:rsid w:val="003D5C57"/>
    <w:rsid w:val="003F5323"/>
    <w:rsid w:val="0046165F"/>
    <w:rsid w:val="00465B5B"/>
    <w:rsid w:val="00496339"/>
    <w:rsid w:val="004C7A20"/>
    <w:rsid w:val="004D413F"/>
    <w:rsid w:val="005236E3"/>
    <w:rsid w:val="0053463B"/>
    <w:rsid w:val="00534A23"/>
    <w:rsid w:val="005C03ED"/>
    <w:rsid w:val="005C1EF0"/>
    <w:rsid w:val="005E216F"/>
    <w:rsid w:val="005E75F5"/>
    <w:rsid w:val="005F7B65"/>
    <w:rsid w:val="006A197C"/>
    <w:rsid w:val="006D4AC7"/>
    <w:rsid w:val="00704485"/>
    <w:rsid w:val="0085732A"/>
    <w:rsid w:val="00866E83"/>
    <w:rsid w:val="008C6E06"/>
    <w:rsid w:val="008F3DD8"/>
    <w:rsid w:val="009260C3"/>
    <w:rsid w:val="00932404"/>
    <w:rsid w:val="00951B11"/>
    <w:rsid w:val="009D72D3"/>
    <w:rsid w:val="00A804D5"/>
    <w:rsid w:val="00AD74A7"/>
    <w:rsid w:val="00B17EA3"/>
    <w:rsid w:val="00B54DF2"/>
    <w:rsid w:val="00C01F27"/>
    <w:rsid w:val="00C116DC"/>
    <w:rsid w:val="00C26A98"/>
    <w:rsid w:val="00C35612"/>
    <w:rsid w:val="00CC361F"/>
    <w:rsid w:val="00D125ED"/>
    <w:rsid w:val="00D90E86"/>
    <w:rsid w:val="00E814A5"/>
    <w:rsid w:val="00EB621B"/>
    <w:rsid w:val="00ED0AD0"/>
    <w:rsid w:val="00F642F4"/>
    <w:rsid w:val="00F64B9F"/>
    <w:rsid w:val="00FB682C"/>
    <w:rsid w:val="00FE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3D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556D6"/>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21B"/>
    <w:rPr>
      <w:rFonts w:ascii="Lucida Grande" w:hAnsi="Lucida Grande" w:cs="Lucida Grande"/>
      <w:sz w:val="18"/>
      <w:szCs w:val="18"/>
      <w:lang w:val="en-GB"/>
    </w:rPr>
  </w:style>
  <w:style w:type="table" w:styleId="TableGrid">
    <w:name w:val="Table Grid"/>
    <w:basedOn w:val="TableNormal"/>
    <w:uiPriority w:val="59"/>
    <w:rsid w:val="00EB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B62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EB621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EB621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932404"/>
    <w:rPr>
      <w:color w:val="0000FF" w:themeColor="hyperlink"/>
      <w:u w:val="single"/>
    </w:rPr>
  </w:style>
  <w:style w:type="character" w:customStyle="1" w:styleId="Heading1Char">
    <w:name w:val="Heading 1 Char"/>
    <w:basedOn w:val="DefaultParagraphFont"/>
    <w:link w:val="Heading1"/>
    <w:uiPriority w:val="9"/>
    <w:rsid w:val="000556D6"/>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0556D6"/>
    <w:pPr>
      <w:ind w:left="720"/>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556D6"/>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21B"/>
    <w:rPr>
      <w:rFonts w:ascii="Lucida Grande" w:hAnsi="Lucida Grande" w:cs="Lucida Grande"/>
      <w:sz w:val="18"/>
      <w:szCs w:val="18"/>
      <w:lang w:val="en-GB"/>
    </w:rPr>
  </w:style>
  <w:style w:type="table" w:styleId="TableGrid">
    <w:name w:val="Table Grid"/>
    <w:basedOn w:val="TableNormal"/>
    <w:uiPriority w:val="59"/>
    <w:rsid w:val="00EB6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B62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EB621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EB621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932404"/>
    <w:rPr>
      <w:color w:val="0000FF" w:themeColor="hyperlink"/>
      <w:u w:val="single"/>
    </w:rPr>
  </w:style>
  <w:style w:type="character" w:customStyle="1" w:styleId="Heading1Char">
    <w:name w:val="Heading 1 Char"/>
    <w:basedOn w:val="DefaultParagraphFont"/>
    <w:link w:val="Heading1"/>
    <w:uiPriority w:val="9"/>
    <w:rsid w:val="000556D6"/>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0556D6"/>
    <w:pPr>
      <w:ind w:left="72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90612">
      <w:bodyDiv w:val="1"/>
      <w:marLeft w:val="0"/>
      <w:marRight w:val="0"/>
      <w:marTop w:val="0"/>
      <w:marBottom w:val="0"/>
      <w:divBdr>
        <w:top w:val="none" w:sz="0" w:space="0" w:color="auto"/>
        <w:left w:val="none" w:sz="0" w:space="0" w:color="auto"/>
        <w:bottom w:val="none" w:sz="0" w:space="0" w:color="auto"/>
        <w:right w:val="none" w:sz="0" w:space="0" w:color="auto"/>
      </w:divBdr>
      <w:divsChild>
        <w:div w:id="162212104">
          <w:marLeft w:val="0"/>
          <w:marRight w:val="0"/>
          <w:marTop w:val="0"/>
          <w:marBottom w:val="0"/>
          <w:divBdr>
            <w:top w:val="none" w:sz="0" w:space="0" w:color="auto"/>
            <w:left w:val="none" w:sz="0" w:space="0" w:color="auto"/>
            <w:bottom w:val="none" w:sz="0" w:space="0" w:color="auto"/>
            <w:right w:val="none" w:sz="0" w:space="0" w:color="auto"/>
          </w:divBdr>
          <w:divsChild>
            <w:div w:id="419374476">
              <w:marLeft w:val="0"/>
              <w:marRight w:val="0"/>
              <w:marTop w:val="0"/>
              <w:marBottom w:val="0"/>
              <w:divBdr>
                <w:top w:val="none" w:sz="0" w:space="0" w:color="auto"/>
                <w:left w:val="none" w:sz="0" w:space="0" w:color="auto"/>
                <w:bottom w:val="none" w:sz="0" w:space="0" w:color="auto"/>
                <w:right w:val="none" w:sz="0" w:space="0" w:color="auto"/>
              </w:divBdr>
              <w:divsChild>
                <w:div w:id="2037461276">
                  <w:marLeft w:val="0"/>
                  <w:marRight w:val="0"/>
                  <w:marTop w:val="0"/>
                  <w:marBottom w:val="0"/>
                  <w:divBdr>
                    <w:top w:val="none" w:sz="0" w:space="0" w:color="auto"/>
                    <w:left w:val="none" w:sz="0" w:space="0" w:color="auto"/>
                    <w:bottom w:val="none" w:sz="0" w:space="0" w:color="auto"/>
                    <w:right w:val="none" w:sz="0" w:space="0" w:color="auto"/>
                  </w:divBdr>
                  <w:divsChild>
                    <w:div w:id="1534415504">
                      <w:marLeft w:val="0"/>
                      <w:marRight w:val="0"/>
                      <w:marTop w:val="0"/>
                      <w:marBottom w:val="0"/>
                      <w:divBdr>
                        <w:top w:val="none" w:sz="0" w:space="0" w:color="auto"/>
                        <w:left w:val="none" w:sz="0" w:space="0" w:color="auto"/>
                        <w:bottom w:val="none" w:sz="0" w:space="0" w:color="auto"/>
                        <w:right w:val="none" w:sz="0" w:space="0" w:color="auto"/>
                      </w:divBdr>
                      <w:divsChild>
                        <w:div w:id="527718148">
                          <w:marLeft w:val="0"/>
                          <w:marRight w:val="0"/>
                          <w:marTop w:val="0"/>
                          <w:marBottom w:val="0"/>
                          <w:divBdr>
                            <w:top w:val="none" w:sz="0" w:space="0" w:color="auto"/>
                            <w:left w:val="none" w:sz="0" w:space="0" w:color="auto"/>
                            <w:bottom w:val="none" w:sz="0" w:space="0" w:color="auto"/>
                            <w:right w:val="none" w:sz="0" w:space="0" w:color="auto"/>
                          </w:divBdr>
                          <w:divsChild>
                            <w:div w:id="1436243661">
                              <w:marLeft w:val="0"/>
                              <w:marRight w:val="0"/>
                              <w:marTop w:val="0"/>
                              <w:marBottom w:val="0"/>
                              <w:divBdr>
                                <w:top w:val="none" w:sz="0" w:space="0" w:color="auto"/>
                                <w:left w:val="none" w:sz="0" w:space="0" w:color="auto"/>
                                <w:bottom w:val="none" w:sz="0" w:space="0" w:color="auto"/>
                                <w:right w:val="none" w:sz="0" w:space="0" w:color="auto"/>
                              </w:divBdr>
                              <w:divsChild>
                                <w:div w:id="1226602350">
                                  <w:marLeft w:val="0"/>
                                  <w:marRight w:val="0"/>
                                  <w:marTop w:val="0"/>
                                  <w:marBottom w:val="0"/>
                                  <w:divBdr>
                                    <w:top w:val="none" w:sz="0" w:space="0" w:color="auto"/>
                                    <w:left w:val="none" w:sz="0" w:space="0" w:color="auto"/>
                                    <w:bottom w:val="none" w:sz="0" w:space="0" w:color="auto"/>
                                    <w:right w:val="none" w:sz="0" w:space="0" w:color="auto"/>
                                  </w:divBdr>
                                  <w:divsChild>
                                    <w:div w:id="543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cines.org.uk/EMC/medicine/25586/SPC/Xarelto+20mg+film-coated+table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scardio.org/guidelines-surveys/esc-guidelines/Pages/atrial-fibrillation.aspx" TargetMode="External"/><Relationship Id="rId8" Type="http://schemas.openxmlformats.org/officeDocument/2006/relationships/hyperlink" Target="http://publications.nice.org.uk/dabigatran-etexilate-for-the-prevention-of-stroke-and-systemic-embolism-in-atrial-fibrillation-ta249" TargetMode="External"/><Relationship Id="rId9" Type="http://schemas.openxmlformats.org/officeDocument/2006/relationships/hyperlink" Target="http://publications.nice.org.uk/rivaroxaban-for-the-prevention-of-stroke-and-systemic-embolism-in-people-with-atrial-fibrillation-ta256" TargetMode="External"/><Relationship Id="rId10" Type="http://schemas.openxmlformats.org/officeDocument/2006/relationships/hyperlink" Target="http://www.medicines.org.uk/emc/medicine/24839/SPC/Pradaxa+150+mg+hard+caps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788B-1AF8-1F44-87A1-95078C01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1377</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Dr Mark J Dayer</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Dayer</dc:creator>
  <cp:lastModifiedBy>Mark Dayer</cp:lastModifiedBy>
  <cp:revision>3</cp:revision>
  <cp:lastPrinted>2012-09-09T21:40:00Z</cp:lastPrinted>
  <dcterms:created xsi:type="dcterms:W3CDTF">2012-09-20T21:19:00Z</dcterms:created>
  <dcterms:modified xsi:type="dcterms:W3CDTF">2012-09-20T21:20:00Z</dcterms:modified>
</cp:coreProperties>
</file>